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110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110480"/>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DENYES NANCY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480"/>
        <w:spacing w:after="0" w:line="311" w:lineRule="auto"/>
        <w:rPr>
          <w:sz w:val="20"/>
          <w:szCs w:val="20"/>
          <w:color w:val="auto"/>
        </w:rPr>
      </w:pPr>
      <w:r>
        <w:rPr>
          <w:rFonts w:ascii="Times New Roman" w:cs="Times New Roman" w:eastAsia="Times New Roman" w:hAnsi="Times New Roman"/>
          <w:sz w:val="17"/>
          <w:szCs w:val="17"/>
          <w:color w:val="0000FF"/>
        </w:rPr>
        <w:t>10240 SORRENTO VALLEY ROAD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aTYR PHARMA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ATYR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02/03/2025</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1014"/>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442"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80" w:type="dxa"/>
            <w:vAlign w:val="bottom"/>
            <w:gridSpan w:val="8"/>
          </w:tcPr>
          <w:p>
            <w:pPr>
              <w:jc w:val="center"/>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10"/>
          </w:tcPr>
          <w:p>
            <w:pPr>
              <w:ind w:left="30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80" w:type="dxa"/>
            <w:vAlign w:val="bottom"/>
            <w:gridSpan w:val="4"/>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92121</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4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02/03/2025</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2,687</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ind w:right="16"/>
              <w:spacing w:after="0"/>
              <w:rPr>
                <w:sz w:val="20"/>
                <w:szCs w:val="20"/>
                <w:color w:val="auto"/>
              </w:rPr>
            </w:pPr>
            <w:r>
              <w:rPr>
                <w:rFonts w:ascii="Times New Roman" w:cs="Times New Roman" w:eastAsia="Times New Roman" w:hAnsi="Times New Roman"/>
                <w:sz w:val="11"/>
                <w:szCs w:val="11"/>
                <w:color w:val="008000"/>
              </w:rPr>
              <w:t>(2)</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ind w:right="241"/>
              <w:spacing w:after="0"/>
              <w:rPr>
                <w:sz w:val="20"/>
                <w:szCs w:val="20"/>
                <w:color w:val="auto"/>
              </w:rPr>
            </w:pPr>
            <w:r>
              <w:rPr>
                <w:rFonts w:ascii="Times New Roman" w:cs="Times New Roman" w:eastAsia="Times New Roman" w:hAnsi="Times New Roman"/>
                <w:sz w:val="17"/>
                <w:szCs w:val="17"/>
                <w:color w:val="0000FF"/>
              </w:rPr>
              <w:t>27,454</w:t>
            </w:r>
            <w:r>
              <w:rPr>
                <w:rFonts w:ascii="Times New Roman" w:cs="Times New Roman" w:eastAsia="Times New Roman" w:hAnsi="Times New Roman"/>
                <w:sz w:val="21"/>
                <w:szCs w:val="21"/>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02/04/2025</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(4)</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ind w:right="15"/>
              <w:spacing w:after="0"/>
              <w:rPr>
                <w:sz w:val="20"/>
                <w:szCs w:val="20"/>
                <w:color w:val="auto"/>
              </w:rPr>
            </w:pPr>
            <w:r>
              <w:rPr>
                <w:rFonts w:ascii="Times New Roman" w:cs="Times New Roman" w:eastAsia="Times New Roman" w:hAnsi="Times New Roman"/>
                <w:sz w:val="17"/>
                <w:szCs w:val="17"/>
                <w:color w:val="0000FF"/>
              </w:rPr>
              <w:t>899</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3.78</w:t>
            </w:r>
          </w:p>
        </w:tc>
        <w:tc>
          <w:tcPr>
            <w:tcW w:w="1300" w:type="dxa"/>
            <w:vAlign w:val="bottom"/>
            <w:tcBorders>
              <w:bottom w:val="single" w:sz="8" w:color="2C2C2C"/>
            </w:tcBorders>
            <w:gridSpan w:val="3"/>
          </w:tcPr>
          <w:p>
            <w:pPr>
              <w:jc w:val="right"/>
              <w:ind w:right="321"/>
              <w:spacing w:after="0"/>
              <w:rPr>
                <w:sz w:val="20"/>
                <w:szCs w:val="20"/>
                <w:color w:val="auto"/>
              </w:rPr>
            </w:pPr>
            <w:r>
              <w:rPr>
                <w:rFonts w:ascii="Times New Roman" w:cs="Times New Roman" w:eastAsia="Times New Roman" w:hAnsi="Times New Roman"/>
                <w:sz w:val="17"/>
                <w:szCs w:val="17"/>
                <w:color w:val="0000FF"/>
              </w:rPr>
              <w:t>26,555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10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02/03/2025</w:t>
            </w: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2,687</w:t>
            </w:r>
          </w:p>
        </w:tc>
        <w:tc>
          <w:tcPr>
            <w:tcW w:w="760" w:type="dxa"/>
            <w:vAlign w:val="bottom"/>
            <w:gridSpan w:val="2"/>
            <w:vMerge w:val="restart"/>
          </w:tcPr>
          <w:p>
            <w:pPr>
              <w:jc w:val="center"/>
              <w:ind w:right="23"/>
              <w:spacing w:after="0"/>
              <w:rPr>
                <w:sz w:val="20"/>
                <w:szCs w:val="20"/>
                <w:color w:val="auto"/>
              </w:rPr>
            </w:pPr>
            <w:r>
              <w:rPr>
                <w:rFonts w:ascii="Times New Roman" w:cs="Times New Roman" w:eastAsia="Times New Roman" w:hAnsi="Times New Roman"/>
                <w:sz w:val="11"/>
                <w:szCs w:val="11"/>
                <w:color w:val="008000"/>
                <w:w w:val="93"/>
              </w:rPr>
              <w:t>(5)</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(5)</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6"/>
              <w:spacing w:after="0"/>
              <w:rPr>
                <w:sz w:val="20"/>
                <w:szCs w:val="20"/>
                <w:color w:val="auto"/>
              </w:rPr>
            </w:pPr>
            <w:r>
              <w:rPr>
                <w:rFonts w:ascii="Times New Roman" w:cs="Times New Roman" w:eastAsia="Times New Roman" w:hAnsi="Times New Roman"/>
                <w:sz w:val="17"/>
                <w:szCs w:val="17"/>
                <w:color w:val="0000FF"/>
              </w:rPr>
              <w:t>2,687</w:t>
            </w:r>
          </w:p>
        </w:tc>
        <w:tc>
          <w:tcPr>
            <w:tcW w:w="60" w:type="dxa"/>
            <w:vAlign w:val="bottom"/>
          </w:tcPr>
          <w:p>
            <w:pPr>
              <w:spacing w:after="0"/>
              <w:rPr>
                <w:sz w:val="15"/>
                <w:szCs w:val="1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rPr>
              <w:t>2,687</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-2018030</wp:posOffset>
            </wp:positionV>
            <wp:extent cx="29210" cy="2023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231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acquired upon the vesting of restricted stock units (RSUs) granted to the Reporting Person on February 3, 2022.</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2,500 shares acquired on November 15, 2024 under the Company's 2015 Employee Purchase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Sale made by the Reporting Person to satisfy tax withholding obligations in connection with the partial vesting of RSUs granted on February 3, 2022.</w:t>
      </w:r>
    </w:p>
    <w:p>
      <w:pPr>
        <w:spacing w:after="0" w:line="45" w:lineRule="exact"/>
        <w:rPr>
          <w:rFonts w:ascii="Times New Roman" w:cs="Times New Roman" w:eastAsia="Times New Roman" w:hAnsi="Times New Roman"/>
          <w:sz w:val="13"/>
          <w:szCs w:val="13"/>
          <w:color w:val="008000"/>
        </w:rPr>
      </w:pPr>
    </w:p>
    <w:p>
      <w:pPr>
        <w:ind w:left="40" w:right="1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four equal annual installments beginning on February 3, 2023, such that the RSUs will fully vest on February 3, 2026. The RSUs are subject to accelerated vesting upon termination without cause upon a change of control of the Issuer.</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Nancy E. Denyes</w:t>
            </w:r>
          </w:p>
        </w:tc>
        <w:tc>
          <w:tcPr>
            <w:tcW w:w="82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02/04/2025</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40869" TargetMode="External"/><Relationship Id="rId14" Type="http://schemas.openxmlformats.org/officeDocument/2006/relationships/hyperlink" Target="http://www.sec.gov/cgi-bin/browse-edgar?action=getcompany&amp;CIK=00013399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2025-02-04T17:14:25Z</dcterms:created>
  <dcterms:modified xsi:type="dcterms:W3CDTF">2025-02-04T17:14:25Z</dcterms:modified>
</cp:coreProperties>
</file>