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ife-20240502.htm"/>
      <w:bookmarkStart w:id="1" w:name="kslife20240502"/>
      <w:bookmarkEnd w:id="0"/>
      <w:bookmarkEnd w:id="1"/>
      <w:r>
        <w:rPr/>
        <w:t> </w:t>
      </w:r>
    </w:p>
    <w:p>
      <w:pPr>
        <w:pStyle w:val="TextBody"/>
        <w:bidi w:val="0"/>
        <w:spacing w:before="2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Date of Report (Date of earliest event reported): May 2, 2024</w:t>
      </w:r>
    </w:p>
    <w:p>
      <w:pPr>
        <w:pStyle w:val="TextBody"/>
        <w:pBdr>
          <w:bottom w:val="single" w:sz="8" w:space="1" w:color="000000"/>
        </w:pBdr>
        <w:bidi w:val="0"/>
        <w:spacing w:before="180" w:after="283"/>
        <w:jc w:val="center"/>
        <w:rPr/>
      </w:pPr>
      <w:r>
        <w:rPr/>
        <w:t> </w:t>
      </w:r>
    </w:p>
    <w:p>
      <w:pPr>
        <w:pStyle w:val="TextBody"/>
        <w:bidi w:val="0"/>
        <w:spacing w:before="180" w:after="283"/>
        <w:jc w:val="center"/>
        <w:rPr>
          <w:rFonts w:ascii="Times New Roman" w:hAnsi="Times New Roman"/>
          <w:b/>
          <w:color w:val="000000"/>
          <w:sz w:val="48"/>
        </w:rPr>
      </w:pPr>
      <w:r>
        <w:rPr>
          <w:rFonts w:ascii="Times New Roman" w:hAnsi="Times New Roman"/>
          <w:b/>
          <w:color w:val="000000"/>
          <w:sz w:val="48"/>
        </w:rPr>
        <w:t>ATYR PHARMA,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spacing w:before="120" w:after="283"/>
        <w:jc w:val="center"/>
        <w:rPr/>
      </w:pPr>
      <w:r>
        <w:rPr/>
        <w:t> </w:t>
      </w:r>
    </w:p>
    <w:p>
      <w:pPr>
        <w:pStyle w:val="TextBody"/>
        <w:bidi w:val="0"/>
        <w:jc w:val="left"/>
        <w:rPr/>
      </w:pPr>
      <w:r>
        <w:rPr/>
        <w:t> </w:t>
      </w:r>
    </w:p>
    <w:tbl>
      <w:tblPr>
        <w:tblW w:w="6895" w:type="dxa"/>
        <w:jc w:val="left"/>
        <w:tblInd w:w="0" w:type="dxa"/>
        <w:tblLayout w:type="fixed"/>
        <w:tblCellMar>
          <w:top w:w="28" w:type="dxa"/>
          <w:left w:w="28" w:type="dxa"/>
          <w:bottom w:w="28" w:type="dxa"/>
          <w:right w:w="28" w:type="dxa"/>
        </w:tblCellMar>
      </w:tblPr>
      <w:tblGrid>
        <w:gridCol w:w="3406"/>
        <w:gridCol w:w="146"/>
        <w:gridCol w:w="1861"/>
        <w:gridCol w:w="146"/>
        <w:gridCol w:w="133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001-37378</w:t>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20-3435077</w:t>
            </w:r>
          </w:p>
        </w:tc>
      </w:tr>
      <w:tr>
        <w:trPr/>
        <w:tc>
          <w:tcPr>
            <w:tcW w:w="3406" w:type="dxa"/>
            <w:tcBorders/>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15"/>
              </w:rPr>
              <w:t>(Commission</w:t>
            </w:r>
            <w:r>
              <w:rPr>
                <w:rFonts w:ascii="Times New Roman" w:hAnsi="Times New Roman"/>
                <w:color w:val="000000"/>
                <w:sz w:val="24"/>
              </w:rPr>
              <w:t xml:space="preserve"> </w:t>
            </w:r>
            <w:r>
              <w:rPr>
                <w:rFonts w:ascii="Times New Roman" w:hAnsi="Times New Roman"/>
                <w:b/>
                <w:color w:val="000000"/>
                <w:sz w:val="15"/>
              </w:rPr>
              <w:t>File Number)</w:t>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p>
            <w:pPr>
              <w:pStyle w:val="TableContents"/>
              <w:bidi w:val="0"/>
              <w:spacing w:before="0" w:after="15"/>
              <w:jc w:val="center"/>
              <w:rPr/>
            </w:pPr>
            <w:r>
              <w:rPr/>
              <w:t> </w:t>
            </w:r>
          </w:p>
        </w:tc>
      </w:tr>
      <w:tr>
        <w:trPr/>
        <w:tc>
          <w:tcPr>
            <w:tcW w:w="340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10240 Sorrento Valley Road, Suite 300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w:t>
            </w:r>
          </w:p>
        </w:tc>
        <w:tc>
          <w:tcPr>
            <w:tcW w:w="146" w:type="dxa"/>
            <w:tcBorders/>
            <w:vAlign w:val="center"/>
          </w:tcPr>
          <w:p>
            <w:pPr>
              <w:pStyle w:val="TableContents"/>
              <w:bidi w:val="0"/>
              <w:spacing w:before="0" w:after="15"/>
              <w:jc w:val="center"/>
              <w:rPr/>
            </w:pPr>
            <w:r>
              <w:rPr/>
              <w:t> </w:t>
            </w:r>
          </w:p>
        </w:tc>
        <w:tc>
          <w:tcPr>
            <w:tcW w:w="18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3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406"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36"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(858)</w:t>
      </w:r>
      <w:r>
        <w:rPr>
          <w:rFonts w:ascii="Times New Roman" w:hAnsi="Times New Roman"/>
          <w:color w:val="000000"/>
          <w:sz w:val="20"/>
        </w:rPr>
        <w:t xml:space="preserve"> </w:t>
      </w:r>
      <w:r>
        <w:rPr>
          <w:rFonts w:ascii="Times New Roman" w:hAnsi="Times New Roman"/>
          <w:b/>
          <w:color w:val="000000"/>
          <w:sz w:val="20"/>
        </w:rPr>
        <w:t>731-8389</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pBdr>
          <w:bottom w:val="single" w:sz="8" w:space="1" w:color="000000"/>
        </w:pBdr>
        <w:bidi w:val="0"/>
        <w:spacing w:before="180" w:after="283"/>
        <w:jc w:val="center"/>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obligations of the registrant under any of the following provisions: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7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817" w:type="dxa"/>
        <w:jc w:val="left"/>
        <w:tblInd w:w="0" w:type="dxa"/>
        <w:tblLayout w:type="fixed"/>
        <w:tblCellMar>
          <w:top w:w="28" w:type="dxa"/>
          <w:left w:w="28" w:type="dxa"/>
          <w:bottom w:w="28" w:type="dxa"/>
          <w:right w:w="28" w:type="dxa"/>
        </w:tblCellMar>
      </w:tblPr>
      <w:tblGrid>
        <w:gridCol w:w="331"/>
        <w:gridCol w:w="7486"/>
      </w:tblGrid>
      <w:tr>
        <w:trPr/>
        <w:tc>
          <w:tcPr>
            <w:tcW w:w="331" w:type="dxa"/>
            <w:tcBorders/>
            <w:vAlign w:val="center"/>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74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bl>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bl>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9123" w:type="dxa"/>
        <w:jc w:val="left"/>
        <w:tblInd w:w="0" w:type="dxa"/>
        <w:tblLayout w:type="fixed"/>
        <w:tblCellMar>
          <w:top w:w="28" w:type="dxa"/>
          <w:left w:w="28" w:type="dxa"/>
          <w:bottom w:w="28" w:type="dxa"/>
          <w:right w:w="28" w:type="dxa"/>
        </w:tblCellMar>
      </w:tblPr>
      <w:tblGrid>
        <w:gridCol w:w="3601"/>
        <w:gridCol w:w="169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LIFE</w:t>
            </w:r>
          </w:p>
        </w:tc>
        <w:tc>
          <w:tcPr>
            <w:tcW w:w="3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or Rule 12b-2 of the Securities Exchange Act of 1934.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1"/>
        </w:rPr>
      </w:pPr>
      <w:r>
        <w:rPr>
          <w:rFonts w:ascii="Times New Roman" w:hAnsi="Times New Roman"/>
          <w:b/>
          <w:color w:val="000000"/>
          <w:sz w:val="21"/>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May 2, 2024, aTyr Pharma, Inc. issued a press release announcing financial results for the three months ended March 31, 2024. A copy of the press release is furnished as Exhibit 99.1 to this report and is incorporated herein by reference.</w:t>
      </w:r>
    </w:p>
    <w:p>
      <w:pPr>
        <w:pStyle w:val="TextBody"/>
        <w:bidi w:val="0"/>
        <w:jc w:val="both"/>
        <w:rPr>
          <w:rFonts w:ascii="Times New Roman" w:hAnsi="Times New Roman"/>
          <w:color w:val="000000"/>
          <w:sz w:val="20"/>
        </w:rPr>
      </w:pPr>
      <w:r>
        <w:rPr>
          <w:rFonts w:ascii="Times New Roman" w:hAnsi="Times New Roman"/>
          <w:color w:val="000000"/>
          <w:sz w:val="20"/>
        </w:rPr>
        <w:t>The information under this Item 2.02, including Exhibit 99.1 hereto is being furnished and shall not be deemed “filed” for the purposes of Section 18 of the Securities and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pStyle w:val="TextBody"/>
        <w:bidi w:val="0"/>
        <w:spacing w:before="360" w:after="283"/>
        <w:jc w:val="both"/>
        <w:rPr>
          <w:rFonts w:ascii="Times New Roman" w:hAnsi="Times New Roman"/>
          <w:sz w:val="20"/>
        </w:rPr>
      </w:pPr>
      <w:r>
        <w:rPr>
          <w:rFonts w:ascii="Times New Roman" w:hAnsi="Times New Roman"/>
          <w:b/>
          <w:color w:val="000000"/>
          <w:sz w:val="21"/>
        </w:rPr>
        <w:t>Item 9.01 Financial Statements and Exhibits.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1"/>
        </w:rPr>
      </w:pPr>
      <w:r>
        <w:rPr>
          <w:rFonts w:ascii="Times New Roman" w:hAnsi="Times New Roman"/>
          <w:color w:val="000000"/>
          <w:sz w:val="21"/>
        </w:rPr>
        <w:t>(d) Exhibits</w:t>
      </w:r>
    </w:p>
    <w:p>
      <w:pPr>
        <w:pStyle w:val="TextBody"/>
        <w:bidi w:val="0"/>
        <w:spacing w:before="180" w:after="283"/>
        <w:jc w:val="both"/>
        <w:rPr/>
      </w:pPr>
      <w:r>
        <w:rPr/>
        <w:t> </w:t>
      </w:r>
    </w:p>
    <w:tbl>
      <w:tblPr>
        <w:tblW w:w="8278" w:type="dxa"/>
        <w:jc w:val="left"/>
        <w:tblInd w:w="0" w:type="dxa"/>
        <w:tblLayout w:type="fixed"/>
        <w:tblCellMar>
          <w:top w:w="28" w:type="dxa"/>
          <w:left w:w="28" w:type="dxa"/>
          <w:bottom w:w="28" w:type="dxa"/>
          <w:right w:w="28" w:type="dxa"/>
        </w:tblCellMar>
      </w:tblPr>
      <w:tblGrid>
        <w:gridCol w:w="1171"/>
        <w:gridCol w:w="146"/>
        <w:gridCol w:w="696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1" w:type="dxa"/>
            <w:tcBorders/>
            <w:vAlign w:val="center"/>
          </w:tcPr>
          <w:p>
            <w:pPr>
              <w:pStyle w:val="TableContents"/>
              <w:bidi w:val="0"/>
              <w:spacing w:before="0" w:after="283"/>
              <w:jc w:val="left"/>
              <w:rPr>
                <w:sz w:val="4"/>
                <w:szCs w:val="4"/>
              </w:rPr>
            </w:pPr>
            <w:r>
              <w:rPr>
                <w:sz w:val="4"/>
                <w:szCs w:val="4"/>
              </w:rPr>
            </w:r>
          </w:p>
        </w:tc>
      </w:tr>
      <w:tr>
        <w:trPr/>
        <w:tc>
          <w:tcPr>
            <w:tcW w:w="11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Description</w:t>
            </w:r>
          </w:p>
        </w:tc>
      </w:tr>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1" w:type="dxa"/>
            <w:tcBorders/>
            <w:vAlign w:val="center"/>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99.1</w:t>
            </w:r>
          </w:p>
        </w:tc>
        <w:tc>
          <w:tcPr>
            <w:tcW w:w="146" w:type="dxa"/>
            <w:tcBorders/>
            <w:vAlign w:val="center"/>
          </w:tcPr>
          <w:p>
            <w:pPr>
              <w:pStyle w:val="TableContents"/>
              <w:bidi w:val="0"/>
              <w:spacing w:before="0" w:after="283"/>
              <w:jc w:val="left"/>
              <w:rPr/>
            </w:pPr>
            <w:r>
              <w:rPr/>
              <w:t> </w:t>
            </w:r>
          </w:p>
        </w:tc>
        <w:tc>
          <w:tcPr>
            <w:tcW w:w="6961" w:type="dxa"/>
            <w:tcBorders/>
            <w:vAlign w:val="center"/>
          </w:tcPr>
          <w:p>
            <w:pPr>
              <w:pStyle w:val="TableContents"/>
              <w:bidi w:val="0"/>
              <w:spacing w:before="0" w:after="283"/>
              <w:jc w:val="left"/>
              <w:rPr/>
            </w:pPr>
            <w:hyperlink w:anchor="life-ex99_1.htm">
              <w:r>
                <w:rPr>
                  <w:rStyle w:val="InternetLink"/>
                  <w:rFonts w:ascii="Times New Roman" w:hAnsi="Times New Roman"/>
                  <w:color w:val="0000FF"/>
                  <w:sz w:val="21"/>
                  <w:u w:val="single"/>
                </w:rPr>
                <w:t>Press Release, dated May 2, 2024</w:t>
              </w:r>
            </w:hyperlink>
          </w:p>
        </w:tc>
      </w:tr>
      <w:tr>
        <w:trPr/>
        <w:tc>
          <w:tcPr>
            <w:tcW w:w="1171" w:type="dxa"/>
            <w:tcBorders/>
            <w:vAlign w:val="center"/>
          </w:tcPr>
          <w:p>
            <w:pPr>
              <w:pStyle w:val="TableContents"/>
              <w:bidi w:val="0"/>
              <w:spacing w:before="120" w:after="283"/>
              <w:jc w:val="left"/>
              <w:rPr>
                <w:rFonts w:ascii="Times New Roman" w:hAnsi="Times New Roman"/>
                <w:color w:val="000000"/>
                <w:sz w:val="21"/>
              </w:rPr>
            </w:pPr>
            <w:r>
              <w:rPr>
                <w:rFonts w:ascii="Times New Roman" w:hAnsi="Times New Roman"/>
                <w:color w:val="000000"/>
                <w:sz w:val="21"/>
              </w:rPr>
              <w:t>104</w:t>
            </w:r>
          </w:p>
        </w:tc>
        <w:tc>
          <w:tcPr>
            <w:tcW w:w="146" w:type="dxa"/>
            <w:tcBorders/>
            <w:vAlign w:val="center"/>
          </w:tcPr>
          <w:p>
            <w:pPr>
              <w:pStyle w:val="TableContents"/>
              <w:bidi w:val="0"/>
              <w:spacing w:before="120" w:after="283"/>
              <w:jc w:val="left"/>
              <w:rPr/>
            </w:pPr>
            <w:r>
              <w:rPr/>
              <w:t> </w:t>
            </w:r>
          </w:p>
        </w:tc>
        <w:tc>
          <w:tcPr>
            <w:tcW w:w="6961" w:type="dxa"/>
            <w:tcBorders/>
            <w:vAlign w:val="center"/>
          </w:tcPr>
          <w:p>
            <w:pPr>
              <w:pStyle w:val="TableContents"/>
              <w:bidi w:val="0"/>
              <w:spacing w:before="120" w:after="283"/>
              <w:jc w:val="left"/>
              <w:rPr>
                <w:rFonts w:ascii="Times New Roman" w:hAnsi="Times New Roman"/>
                <w:color w:val="000000"/>
                <w:sz w:val="21"/>
              </w:rPr>
            </w:pPr>
            <w:r>
              <w:rPr>
                <w:rFonts w:ascii="Times New Roman" w:hAnsi="Times New Roman"/>
                <w:color w:val="000000"/>
                <w:sz w:val="21"/>
              </w:rPr>
              <w:t>Cover Page Interactive Data File (embedded within the Inline XBRL document)</w:t>
            </w:r>
          </w:p>
        </w:tc>
      </w:tr>
    </w:tbl>
    <w:p>
      <w:pPr>
        <w:pStyle w:val="TextBody"/>
        <w:bidi w:val="0"/>
        <w:spacing w:before="396" w:after="283"/>
        <w:jc w:val="left"/>
        <w:rPr/>
      </w:pPr>
      <w:r>
        <w:rPr/>
        <w:t> </w:t>
      </w:r>
    </w:p>
    <w:p>
      <w:pPr>
        <w:pStyle w:val="TextBody"/>
        <w:pBdr>
          <w:bottom w:val="single" w:sz="18" w:space="1" w:color="000000"/>
        </w:pBdr>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pBdr>
          <w:bottom w:val="single" w:sz="6" w:space="1" w:color="000000"/>
        </w:pBdr>
        <w:bidi w:val="0"/>
        <w:spacing w:before="264" w:after="22"/>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053" w:type="dxa"/>
        <w:jc w:val="left"/>
        <w:tblInd w:w="0" w:type="dxa"/>
        <w:tblLayout w:type="fixed"/>
        <w:tblCellMar>
          <w:top w:w="28" w:type="dxa"/>
          <w:left w:w="28" w:type="dxa"/>
          <w:bottom w:w="28" w:type="dxa"/>
          <w:right w:w="28" w:type="dxa"/>
        </w:tblCellMar>
      </w:tblPr>
      <w:tblGrid>
        <w:gridCol w:w="1636"/>
        <w:gridCol w:w="406"/>
        <w:gridCol w:w="201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sz w:val="4"/>
                <w:szCs w:val="4"/>
              </w:rPr>
            </w:pPr>
            <w:r>
              <w:rPr>
                <w:sz w:val="4"/>
                <w:szCs w:val="4"/>
              </w:rPr>
            </w:r>
          </w:p>
        </w:tc>
        <w:tc>
          <w:tcPr>
            <w:tcW w:w="2417"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ATYR PHARMA, INC.</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Jill M. Broadfoot</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M. Broadfoot</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 2024</w:t>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pBdr>
          <w:bottom w:val="single" w:sz="18" w:space="1" w:color="000000"/>
        </w:pBdr>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life-ex99_1.htm"/>
      <w:bookmarkStart w:id="3" w:name="kslifeex99_1"/>
      <w:bookmarkEnd w:id="2"/>
      <w:bookmarkEnd w:id="3"/>
      <w:r>
        <w:rPr>
          <w:rFonts w:ascii="Times New Roman" w:hAnsi="Times New Roman"/>
          <w:b/>
          <w:color w:val="000000"/>
          <w:sz w:val="20"/>
        </w:rPr>
        <w:t>Exhibit 99.1</w:t>
      </w:r>
      <w:r>
        <w:br w:type="page"/>
      </w:r>
    </w:p>
    <w:p>
      <w:pPr>
        <w:pStyle w:val="TextBody"/>
        <w:bidi w:val="0"/>
        <w:jc w:val="left"/>
        <w:rPr/>
      </w:pPr>
      <w:r>
        <w:rPr/>
        <w:drawing>
          <wp:inline distT="0" distB="0" distL="0" distR="0">
            <wp:extent cx="117157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71575" cy="647700"/>
                    </a:xfrm>
                    <a:prstGeom prst="rect">
                      <a:avLst/>
                    </a:prstGeom>
                  </pic:spPr>
                </pic:pic>
              </a:graphicData>
            </a:graphic>
          </wp:inline>
        </w:drawing>
      </w:r>
      <w:r>
        <w:rPr>
          <w:color w:val="000000"/>
        </w:rPr>
        <w:t xml:space="preserve"> </w:t>
      </w:r>
    </w:p>
    <w:p>
      <w:pPr>
        <w:pStyle w:val="TextBody"/>
        <w:bidi w:val="0"/>
        <w:jc w:val="right"/>
        <w:rPr/>
      </w:pPr>
      <w:r>
        <w:rPr/>
        <w:t> </w:t>
      </w:r>
    </w:p>
    <w:tbl>
      <w:tblPr>
        <w:tblW w:w="4362" w:type="dxa"/>
        <w:jc w:val="left"/>
        <w:tblInd w:w="0" w:type="dxa"/>
        <w:tblLayout w:type="fixed"/>
        <w:tblCellMar>
          <w:top w:w="28" w:type="dxa"/>
          <w:left w:w="28" w:type="dxa"/>
          <w:bottom w:w="28" w:type="dxa"/>
          <w:right w:w="28" w:type="dxa"/>
        </w:tblCellMar>
      </w:tblPr>
      <w:tblGrid>
        <w:gridCol w:w="4171"/>
        <w:gridCol w:w="191"/>
      </w:tblGrid>
      <w:tr>
        <w:trPr/>
        <w:tc>
          <w:tcPr>
            <w:tcW w:w="41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jc w:val="both"/>
              <w:rPr/>
            </w:pPr>
            <w:r>
              <w:rPr/>
              <w:t> </w:t>
            </w:r>
          </w:p>
          <w:p>
            <w:pPr>
              <w:pStyle w:val="TableContents"/>
              <w:bidi w:val="0"/>
              <w:spacing w:before="0" w:after="283"/>
              <w:jc w:val="both"/>
              <w:rPr>
                <w:rFonts w:ascii="Arial" w:hAnsi="Arial"/>
                <w:b/>
                <w:color w:val="000000"/>
                <w:sz w:val="20"/>
              </w:rPr>
            </w:pPr>
            <w:r>
              <w:rPr>
                <w:rFonts w:ascii="Arial" w:hAnsi="Arial"/>
                <w:b/>
                <w:color w:val="000000"/>
                <w:sz w:val="20"/>
              </w:rPr>
              <w:t>IMMEDIATE RELEASE</w:t>
            </w:r>
          </w:p>
        </w:tc>
        <w:tc>
          <w:tcPr>
            <w:tcW w:w="191" w:type="dxa"/>
            <w:tcBorders/>
            <w:vAlign w:val="center"/>
          </w:tcPr>
          <w:p>
            <w:pPr>
              <w:pStyle w:val="TableContents"/>
              <w:bidi w:val="0"/>
              <w:spacing w:before="0" w:after="283"/>
              <w:jc w:val="right"/>
              <w:rPr/>
            </w:pPr>
            <w:r>
              <w:rPr/>
              <w:t> </w:t>
            </w:r>
          </w:p>
        </w:tc>
      </w:tr>
      <w:tr>
        <w:trPr/>
        <w:tc>
          <w:tcPr>
            <w:tcW w:w="4171" w:type="dxa"/>
            <w:tcBorders/>
            <w:vAlign w:val="center"/>
          </w:tcPr>
          <w:p>
            <w:pPr>
              <w:pStyle w:val="TableContents"/>
              <w:bidi w:val="0"/>
              <w:spacing w:before="0" w:after="283"/>
              <w:jc w:val="both"/>
              <w:rPr>
                <w:rFonts w:ascii="Arial" w:hAnsi="Arial"/>
                <w:b/>
                <w:color w:val="000000"/>
                <w:sz w:val="20"/>
              </w:rPr>
            </w:pPr>
            <w:r>
              <w:rPr>
                <w:rFonts w:ascii="Arial" w:hAnsi="Arial"/>
                <w:b/>
                <w:color w:val="000000"/>
                <w:sz w:val="20"/>
              </w:rPr>
              <w:t>Contact:</w:t>
            </w:r>
          </w:p>
        </w:tc>
        <w:tc>
          <w:tcPr>
            <w:tcW w:w="191" w:type="dxa"/>
            <w:tcBorders/>
            <w:vAlign w:val="center"/>
          </w:tcPr>
          <w:p>
            <w:pPr>
              <w:pStyle w:val="TableContents"/>
              <w:bidi w:val="0"/>
              <w:spacing w:before="0" w:after="283"/>
              <w:jc w:val="both"/>
              <w:rPr/>
            </w:pPr>
            <w:r>
              <w:rPr/>
              <w:t> </w:t>
            </w:r>
          </w:p>
        </w:tc>
      </w:tr>
      <w:tr>
        <w:trPr/>
        <w:tc>
          <w:tcPr>
            <w:tcW w:w="4171" w:type="dxa"/>
            <w:tcBorders/>
            <w:vAlign w:val="center"/>
          </w:tcPr>
          <w:p>
            <w:pPr>
              <w:pStyle w:val="TableContents"/>
              <w:bidi w:val="0"/>
              <w:spacing w:before="0" w:after="283"/>
              <w:jc w:val="both"/>
              <w:rPr>
                <w:rFonts w:ascii="Calibri;sans-serif" w:hAnsi="Calibri;sans-serif"/>
                <w:color w:val="222222"/>
                <w:sz w:val="22"/>
              </w:rPr>
            </w:pPr>
            <w:r>
              <w:rPr>
                <w:rFonts w:ascii="Calibri;sans-serif" w:hAnsi="Calibri;sans-serif"/>
                <w:color w:val="222222"/>
                <w:sz w:val="22"/>
              </w:rPr>
              <w:t>Ashlee Dunston</w:t>
            </w:r>
          </w:p>
        </w:tc>
        <w:tc>
          <w:tcPr>
            <w:tcW w:w="191" w:type="dxa"/>
            <w:tcBorders/>
            <w:vAlign w:val="center"/>
          </w:tcPr>
          <w:p>
            <w:pPr>
              <w:pStyle w:val="TableContents"/>
              <w:bidi w:val="0"/>
              <w:spacing w:before="0" w:after="283"/>
              <w:jc w:val="center"/>
              <w:rPr/>
            </w:pPr>
            <w:r>
              <w:rPr/>
              <w:t> </w:t>
            </w:r>
          </w:p>
        </w:tc>
      </w:tr>
      <w:tr>
        <w:trPr/>
        <w:tc>
          <w:tcPr>
            <w:tcW w:w="4171" w:type="dxa"/>
            <w:tcBorders/>
            <w:vAlign w:val="center"/>
          </w:tcPr>
          <w:p>
            <w:pPr>
              <w:pStyle w:val="TableContents"/>
              <w:bidi w:val="0"/>
              <w:spacing w:before="0" w:after="283"/>
              <w:jc w:val="left"/>
              <w:rPr>
                <w:rFonts w:ascii="Calibri;sans-serif" w:hAnsi="Calibri;sans-serif"/>
                <w:color w:val="222222"/>
                <w:sz w:val="22"/>
              </w:rPr>
            </w:pPr>
            <w:r>
              <w:rPr>
                <w:rFonts w:ascii="Calibri;sans-serif" w:hAnsi="Calibri;sans-serif"/>
                <w:color w:val="222222"/>
                <w:sz w:val="22"/>
              </w:rPr>
              <w:t>Director, Investor Relations and Public Affairs</w:t>
            </w:r>
          </w:p>
        </w:tc>
        <w:tc>
          <w:tcPr>
            <w:tcW w:w="191" w:type="dxa"/>
            <w:tcBorders/>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before="0" w:after="283"/>
              <w:jc w:val="both"/>
              <w:rPr>
                <w:rFonts w:ascii="Times New Roman" w:hAnsi="Times New Roman"/>
                <w:sz w:val="22"/>
              </w:rPr>
            </w:pPr>
            <w:r>
              <w:rPr>
                <w:rFonts w:ascii="Calibri;sans-serif" w:hAnsi="Calibri;sans-serif"/>
                <w:color w:val="1155CC"/>
                <w:sz w:val="22"/>
                <w:u w:val="single"/>
              </w:rPr>
              <w:t>adunston@atyrpharma.com</w:t>
            </w:r>
            <w:r>
              <w:rPr>
                <w:rFonts w:ascii="Times New Roman" w:hAnsi="Times New Roman"/>
                <w:color w:val="000000"/>
                <w:sz w:val="22"/>
              </w:rPr>
              <w:t xml:space="preserve"> </w:t>
            </w:r>
          </w:p>
        </w:tc>
        <w:tc>
          <w:tcPr>
            <w:tcW w:w="191" w:type="dxa"/>
            <w:tcBorders/>
            <w:vAlign w:val="center"/>
          </w:tcPr>
          <w:p>
            <w:pPr>
              <w:pStyle w:val="TableContents"/>
              <w:bidi w:val="0"/>
              <w:spacing w:before="0" w:after="283"/>
              <w:jc w:val="center"/>
              <w:rPr/>
            </w:pPr>
            <w:r>
              <w:rPr/>
              <w:t> </w:t>
            </w:r>
          </w:p>
        </w:tc>
      </w:tr>
      <w:tr>
        <w:trPr/>
        <w:tc>
          <w:tcPr>
            <w:tcW w:w="4171"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rFonts w:ascii="Times New Roman" w:hAnsi="Times New Roman"/>
          <w:sz w:val="20"/>
        </w:rPr>
      </w:pPr>
      <w:r>
        <w:rPr>
          <w:rFonts w:ascii="Arial" w:hAnsi="Arial"/>
          <w:b/>
          <w:color w:val="000000"/>
          <w:sz w:val="22"/>
        </w:rPr>
        <w:t>aTyr Pharma Announces First Quarter 2024 Results and Provides Corporate Update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i/>
          <w:color w:val="000000"/>
          <w:sz w:val="22"/>
        </w:rPr>
        <w:t>Phase 3 EFZO-FIT study of efzofitimod in pulmonary sarcoidosis expected to complete enrollment</w:t>
      </w:r>
      <w:r>
        <w:rPr>
          <w:rFonts w:ascii="Times New Roman" w:hAnsi="Times New Roman"/>
          <w:color w:val="000000"/>
          <w:sz w:val="20"/>
        </w:rPr>
        <w:t xml:space="preserve"> </w:t>
      </w:r>
      <w:r>
        <w:rPr>
          <w:rFonts w:ascii="Arial" w:hAnsi="Arial"/>
          <w:i/>
          <w:color w:val="000000"/>
          <w:sz w:val="22"/>
        </w:rPr>
        <w:t>in the second quarter of 2024.</w:t>
      </w:r>
    </w:p>
    <w:p>
      <w:pPr>
        <w:pStyle w:val="TextBody"/>
        <w:bidi w:val="0"/>
        <w:jc w:val="center"/>
        <w:rPr>
          <w:rFonts w:ascii="Times New Roman" w:hAnsi="Times New Roman"/>
          <w:sz w:val="20"/>
        </w:rPr>
      </w:pPr>
      <w:r>
        <w:rPr>
          <w:rFonts w:ascii="Arial" w:hAnsi="Arial"/>
          <w:i/>
          <w:color w:val="000000"/>
          <w:sz w:val="22"/>
        </w:rPr>
        <w:t>Ended the first quarter 2024 with $87.7 million in cash, cash equivalents, restricted cash and investments.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2"/>
        </w:rPr>
        <w:t>SAN DIEGO – May 2, 2024 – aTyr Pharma, Inc. (Nasdaq: LIFE) (“aTyr” or the “Company”), a clinical stage biotechnology company engaged in the discovery and development of first-in-class medicines from its proprietary tRNA synthetase platform, today announced first quarter 2024 results and provided a corporate update.</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Arial" w:hAnsi="Arial"/>
          <w:color w:val="000000"/>
          <w:sz w:val="22"/>
        </w:rPr>
        <w:t>During the first quarter of 2024 we continued to execute on our two clinical studies for our lead therapeutic candidate, efzofitimod, in interstitial lung disease (ILD),” said Sanjay S. Shukla, M.D., M.S., President and Chief Executive Officer of aTyr. “We are pleased with the study conduct and quality to date for our global pivotal Phase 3 EFZO-FIT study in patients with pulmonary sarcoidosis, a major form of ILD with high unmet medical need, and we look forward to completing enrollment in this study, which is anticipated this quarter.”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2"/>
        </w:rPr>
        <w:t>First Quarter 2024 and Subsequent Period Highlights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2"/>
        </w:rPr>
        <w:t xml:space="preserve">Continued enrollment in the global pivotal Phase 3 EFZO-FIT study to evaluate the efficacy and safety of efzofitimod in patients with pulmonary sarcoidosis. </w:t>
      </w:r>
      <w:r>
        <w:rPr>
          <w:rFonts w:ascii="Arial" w:hAnsi="Arial"/>
          <w:color w:val="000000"/>
          <w:sz w:val="22"/>
        </w:rPr>
        <w:t>This is a randomized, double-blind, placebo-controlled, 52-week study consisting of three parallel cohorts randomized equally to either 3.0 mg/kg or 5.0 mg/kg of efzofitimod or placebo dosed intravenously monthly for a total of 12 doses. The study intends to enroll up to 264 patients with pulmonary sarcoidosis. The study is currently enrolling at more than 90 centers in 9 countries. Based on current enrollment projections, the Company anticipates completing enrollment in the study in the second quarter of 2024. Patients who complete the study and wish to receive treatment with efzofitimod outside of the clinical trial are eligible to participate in an Individual Patient Expanded Access Program (EAP).</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2"/>
        </w:rPr>
        <w:t>Continued</w:t>
      </w:r>
      <w:r>
        <w:rPr>
          <w:color w:val="000000"/>
        </w:rPr>
        <w:t xml:space="preserve"> </w:t>
      </w:r>
      <w:r>
        <w:rPr>
          <w:rFonts w:ascii="Arial" w:hAnsi="Arial"/>
          <w:b/>
          <w:color w:val="000000"/>
          <w:sz w:val="22"/>
        </w:rPr>
        <w:t xml:space="preserve">enrollment in the Phase 2 EFZO-CONNECT study to evaluate the efficacy, safety and tolerability of efzofitimod in patients with SSc-ILD. </w:t>
      </w:r>
      <w:r>
        <w:rPr>
          <w:rFonts w:ascii="Arial" w:hAnsi="Arial"/>
          <w:color w:val="000000"/>
          <w:sz w:val="22"/>
        </w:rPr>
        <w:t xml:space="preserve">This proof-of-concept study is a randomized, double-blind, placebo-controlled, 28-week study consisting of three parallel cohorts randomized 2:2:1 to either 270 mg or 450 mg of efzofitimod or placebo dosed intravenously monthly </w:t>
      </w:r>
    </w:p>
    <w:p>
      <w:pPr>
        <w:pStyle w:val="HorizontalLine"/>
        <w:pBdr>
          <w:bottom w:val="double" w:sz="2" w:space="0" w:color="808080"/>
        </w:pBdr>
        <w:bidi w:val="0"/>
        <w:spacing w:before="0" w:after="283"/>
        <w:jc w:val="left"/>
        <w:rPr/>
      </w:pPr>
      <w:r>
        <w:rPr/>
      </w:r>
    </w:p>
    <w:p>
      <w:pPr>
        <w:pStyle w:val="TextBody"/>
        <w:bidi w:val="0"/>
        <w:spacing w:before="120" w:after="283"/>
        <w:jc w:val="both"/>
        <w:rPr/>
      </w:pPr>
      <w:r>
        <w:rPr>
          <w:rFonts w:ascii="Arial" w:hAnsi="Arial"/>
          <w:color w:val="000000"/>
          <w:sz w:val="22"/>
        </w:rPr>
        <w:t>for a total of 6 doses. The study intends to enroll up to 25 patients with SSc-ILD and is open for enrollment at multiple centers in the U.S.</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2"/>
        </w:rPr>
        <w:t>Presented a poster</w:t>
      </w:r>
      <w:r>
        <w:rPr>
          <w:color w:val="000000"/>
        </w:rPr>
        <w:t xml:space="preserve"> </w:t>
      </w:r>
      <w:r>
        <w:rPr>
          <w:rFonts w:ascii="Arial" w:hAnsi="Arial"/>
          <w:b/>
          <w:color w:val="000000"/>
          <w:sz w:val="22"/>
        </w:rPr>
        <w:t>on ATYR0750 at the Gordon Research Conference Fibroblast Growth Factors in Development and Disease.</w:t>
      </w:r>
      <w:r>
        <w:rPr>
          <w:color w:val="000000"/>
        </w:rPr>
        <w:t xml:space="preserve"> </w:t>
      </w:r>
      <w:r>
        <w:rPr>
          <w:rFonts w:ascii="Arial" w:hAnsi="Arial"/>
          <w:color w:val="000000"/>
          <w:sz w:val="22"/>
        </w:rPr>
        <w:t>The poster demonstrated that the alanyl-tRNA synthetase fragment that forms ATYR0750 binds selectively to FGFR4 and induces morphological changes and downstream signaling in liver cells with functional similarities to FGF2.</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2"/>
        </w:rPr>
        <w:t>Poster for efzofitimod to be presented at the upcoming American Thoracic Society (ATS) 2024 International Conference.</w:t>
      </w:r>
      <w:r>
        <w:rPr>
          <w:color w:val="000000"/>
        </w:rPr>
        <w:t xml:space="preserve"> </w:t>
      </w:r>
      <w:r>
        <w:rPr>
          <w:rFonts w:ascii="Arial" w:hAnsi="Arial"/>
          <w:color w:val="000000"/>
          <w:sz w:val="22"/>
        </w:rPr>
        <w:t>The conference is scheduled to take place May 17 – 22, 2024, in San Diego, CA.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Poster 8837 – Efzofitimod is an Immunomodulator of Myeloid Cell Function and Novel Therapeutic Candidate for Interstitial Lung Diseases on Sunday, May 19, 2024, at 2:15 p.m. PDT.</w:t>
      </w:r>
    </w:p>
    <w:p>
      <w:pPr>
        <w:pStyle w:val="TextBody"/>
        <w:bidi w:val="0"/>
        <w:spacing w:before="240" w:after="283"/>
        <w:jc w:val="both"/>
        <w:rPr>
          <w:rFonts w:ascii="Arial" w:hAnsi="Arial"/>
          <w:b/>
          <w:color w:val="000000"/>
          <w:sz w:val="22"/>
        </w:rPr>
      </w:pPr>
      <w:r>
        <w:rPr>
          <w:rFonts w:ascii="Arial" w:hAnsi="Arial"/>
          <w:b/>
          <w:color w:val="000000"/>
          <w:sz w:val="22"/>
        </w:rPr>
        <w:t>First Quarter 2024 Financial Highlights and Cash Position</w:t>
      </w:r>
    </w:p>
    <w:p>
      <w:pPr>
        <w:pStyle w:val="TextBody"/>
        <w:bidi w:val="0"/>
        <w:jc w:val="left"/>
        <w:rPr/>
      </w:pPr>
      <w:r>
        <w:rPr/>
        <w:t> </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Arial" w:hAnsi="Arial"/>
          <w:b/>
          <w:color w:val="000000"/>
          <w:sz w:val="22"/>
        </w:rPr>
        <w:t>Cash &amp; Investment Position:</w:t>
      </w:r>
      <w:r>
        <w:rPr>
          <w:color w:val="000000"/>
        </w:rPr>
        <w:t xml:space="preserve"> </w:t>
      </w:r>
      <w:r>
        <w:rPr>
          <w:rFonts w:ascii="Arial" w:hAnsi="Arial"/>
          <w:color w:val="000000"/>
          <w:sz w:val="22"/>
        </w:rPr>
        <w:t>Cash, cash equivalents, restricted cash and investments as of March 31, 2024, were $87.7 million. Based on the Company’s current operational plans and existing cash, the Company maintains its prior guidance</w:t>
      </w:r>
      <w:r>
        <w:rPr>
          <w:color w:val="000000"/>
        </w:rPr>
        <w:t xml:space="preserve"> </w:t>
      </w:r>
      <w:r>
        <w:rPr>
          <w:rFonts w:ascii="Arial" w:hAnsi="Arial"/>
          <w:color w:val="000000"/>
          <w:sz w:val="22"/>
        </w:rPr>
        <w:t>and believes its cash runway will be sufficient to fund the Company’s operations through the filing of a Biologics License Application (BLA) for efzofitimod in pulmonary sarcoidosis.</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Arial" w:hAnsi="Arial"/>
          <w:b/>
          <w:color w:val="000000"/>
          <w:sz w:val="22"/>
        </w:rPr>
        <w:t>R&amp;D Expenses:</w:t>
      </w:r>
      <w:r>
        <w:rPr>
          <w:color w:val="000000"/>
        </w:rPr>
        <w:t xml:space="preserve"> </w:t>
      </w:r>
      <w:r>
        <w:rPr>
          <w:rFonts w:ascii="Arial" w:hAnsi="Arial"/>
          <w:color w:val="000000"/>
          <w:sz w:val="22"/>
        </w:rPr>
        <w:t>Research and development expenses were $13.4 million for the first quarter 2024, which consisted primarily of clinical trial costs for the Phase 3 EFZO-FIT and Phase 2 EFZO-CONNECT studies, manufacturing costs for the efzofitimod program and research and development costs for the efzofitimod and discovery programs.</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Arial" w:hAnsi="Arial"/>
          <w:b/>
          <w:color w:val="000000"/>
          <w:sz w:val="22"/>
        </w:rPr>
        <w:t>G&amp;A Expenses:</w:t>
      </w:r>
      <w:r>
        <w:rPr>
          <w:color w:val="000000"/>
        </w:rPr>
        <w:t xml:space="preserve"> </w:t>
      </w:r>
      <w:r>
        <w:rPr>
          <w:rFonts w:ascii="Arial" w:hAnsi="Arial"/>
          <w:color w:val="000000"/>
          <w:sz w:val="22"/>
        </w:rPr>
        <w:t>General and administrative expenses were $3.5 million for the first quarter 2024.</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Arial" w:hAnsi="Arial"/>
          <w:b/>
          <w:color w:val="000000"/>
          <w:sz w:val="22"/>
        </w:rPr>
        <w:t xml:space="preserve">Collaboration and License Revenue: </w:t>
      </w:r>
      <w:r>
        <w:rPr>
          <w:rFonts w:ascii="Arial" w:hAnsi="Arial"/>
          <w:color w:val="000000"/>
          <w:sz w:val="22"/>
        </w:rPr>
        <w:t xml:space="preserve">Collaboration and license revenue related to the Kyorin Agreement was $0.2 million for the first quarter of 2024, which consisted of drug product material sold to Kyorin for the Japan portion of the EFZO-FIT study. </w:t>
      </w:r>
    </w:p>
    <w:p>
      <w:pPr>
        <w:pStyle w:val="TextBody"/>
        <w:bidi w:val="0"/>
        <w:spacing w:before="240" w:after="283"/>
        <w:jc w:val="both"/>
        <w:rPr>
          <w:rFonts w:ascii="Arial" w:hAnsi="Arial"/>
          <w:b/>
          <w:color w:val="000000"/>
          <w:sz w:val="22"/>
        </w:rPr>
      </w:pPr>
      <w:r>
        <w:rPr>
          <w:rFonts w:ascii="Arial" w:hAnsi="Arial"/>
          <w:b/>
          <w:color w:val="000000"/>
          <w:sz w:val="22"/>
        </w:rPr>
        <w:t>About Efzofitimod</w:t>
      </w:r>
    </w:p>
    <w:p>
      <w:pPr>
        <w:pStyle w:val="TextBody"/>
        <w:bidi w:val="0"/>
        <w:spacing w:before="240" w:after="283"/>
        <w:jc w:val="both"/>
        <w:rPr>
          <w:rFonts w:ascii="Times New Roman" w:hAnsi="Times New Roman"/>
          <w:sz w:val="20"/>
        </w:rPr>
      </w:pPr>
      <w:r>
        <w:rPr>
          <w:rFonts w:ascii="Arial" w:hAnsi="Arial"/>
          <w:color w:val="000000"/>
          <w:sz w:val="22"/>
        </w:rPr>
        <w:t>Efzofitimod is a first-in-class biologic immunomodulator in clinical development for the treatment of interstitial lung disease (ILD), a group of immune-mediated disorders that can cause inflammation and fibrosis, or scarring, of the lungs. Efzofitimod is a tRNA synthetase derived therapy that selectively modulates activated myeloid cells through neuropilin-2 to resolve inflammation without immune suppression and potentially prevent the progression of fibrosis. aTyr is currently investigating efzofitimod in the global Phase 3 EFZO-FIT study in patients with pulmonary sarcoidosis, a major form of ILD, and in the Phase 2 EFZO-CONNECT study in patients with</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Arial" w:hAnsi="Arial"/>
          <w:color w:val="000000"/>
          <w:sz w:val="22"/>
        </w:rPr>
        <w:t>systemic sclerosis (SSc, or scleroderma)-related ILD. These forms of ILD have limited therapeutic options and there is a need for safer and more effective, disease-modifying treatments that improve outcomes.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2"/>
        </w:rPr>
      </w:pPr>
      <w:r>
        <w:rPr>
          <w:rFonts w:ascii="Arial" w:hAnsi="Arial"/>
          <w:b/>
          <w:color w:val="000000"/>
          <w:sz w:val="22"/>
        </w:rPr>
        <w:t>About aTyr</w:t>
      </w:r>
    </w:p>
    <w:p>
      <w:pPr>
        <w:pStyle w:val="TextBody"/>
        <w:bidi w:val="0"/>
        <w:spacing w:before="240" w:after="283"/>
        <w:jc w:val="both"/>
        <w:rPr>
          <w:rFonts w:ascii="Times New Roman" w:hAnsi="Times New Roman"/>
          <w:sz w:val="20"/>
        </w:rPr>
      </w:pPr>
      <w:r>
        <w:rPr>
          <w:rFonts w:ascii="Arial" w:hAnsi="Arial"/>
          <w:color w:val="000000"/>
          <w:sz w:val="22"/>
        </w:rPr>
        <w:t xml:space="preserve">aTyr is a clinical stage biotechnology company leveraging evolutionary intelligence to translate tRNA synthetase biology into new therapies for fibrosis and inflammation. tRNA synthetases are ancient, essential proteins that have evolved novel domains that regulate diverse pathways extracellularly in humans. aTyr’s discovery platform is focused on unlocking hidden therapeutic intervention points by uncovering signaling pathways driven by its proprietary library of domains derived from all 20 tRNA synthetases. aTyr’s lead therapeutic candidate is efzofitimod, a first-in-class biologic immunomodulator in clinical development for the treatment of interstitial lung disease, a group of immune-mediated disorders that can cause inflammation and progressive fibrosis, or scarring, of the lungs. For more information, please visit </w:t>
      </w:r>
      <w:r>
        <w:rPr>
          <w:rFonts w:ascii="Arial" w:hAnsi="Arial"/>
          <w:color w:val="000000"/>
          <w:sz w:val="22"/>
          <w:u w:val="single"/>
        </w:rPr>
        <w:t>www.atyrpharma.com</w:t>
      </w:r>
      <w:r>
        <w:rPr>
          <w:rFonts w:ascii="Arial" w:hAnsi="Arial"/>
          <w:color w:val="000000"/>
          <w:sz w:val="22"/>
        </w:rPr>
        <w:t>.</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2"/>
        </w:rPr>
      </w:pPr>
      <w:r>
        <w:rPr>
          <w:rFonts w:ascii="Arial" w:hAnsi="Arial"/>
          <w:b/>
          <w:color w:val="000000"/>
          <w:sz w:val="22"/>
        </w:rPr>
        <w:t>Forward-Looking Statements</w:t>
      </w:r>
    </w:p>
    <w:p>
      <w:pPr>
        <w:pStyle w:val="TextBody"/>
        <w:bidi w:val="0"/>
        <w:spacing w:before="240" w:after="283"/>
        <w:jc w:val="both"/>
        <w:rPr>
          <w:rFonts w:ascii="Times New Roman" w:hAnsi="Times New Roman"/>
          <w:sz w:val="20"/>
        </w:rPr>
      </w:pPr>
      <w:r>
        <w:rPr>
          <w:rFonts w:ascii="Arial" w:hAnsi="Arial"/>
          <w:color w:val="000000"/>
          <w:sz w:val="22"/>
        </w:rPr>
        <w:t>This press release contains forward-looking statements within the meaning of the Private Securities Litigation Reform Act of 1995. Forward-looking statements are usually identified by the use of words such as “anticipates,” “believes,” “designed,” “expects,” “intends,” “may,” “plans,” “potential,” “project,” “will,” and variations of such words or similar expressions. We intend these forward-looking statements to be covered by such safe harbor provisions for forward-looking statements and are making this statement for purposes of complying with those safe harbor provisions. These forward-looking statements include, among others, statements regarding our belief that we will have sufficient cash runway to fund the Company’s operations through the filing of a BLA for efzofitimod for pulmonary sarcoidosis; the expected size of, and number and nationality of patients to be enrolled in, the EFZO-FIT and EFZO-CONNECT studies; the design and benefits of our EAP for efzofitimod for patients with pulmonary sarcoidosis; the potential therapeutic benefits and applications of efzofitimod; and timelines and plans with respect to certain development activities and development goals, including our expectation that our Phase 3 EFZO-FIT study of efzofitimod in patients with pulmonary sarcoidosis will complete enrollment in the second quarter of 2024. These forward-looking statements also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these forward-looking statements, are reasonable, we can give no assurance that the plans, intentions, expectations, strategies or prospects will be attained or achieved. All forward-looking statements are based on estimates and assumptions by our management that, although we believe to be reasonable, are inherently uncertain. Furthermore, actual results may differ materially from those described in these forward-looking statements and will be affected by a variety of risks and factors that are beyond our control including, without limitation, our assumptions and expectations underlying our belief that we will have sufficient cash runway to fund the Company’s operations through the filing of a BLA for efzofitimod for pulmonary sarcoidosis may not be accurate, risks related to our reliance 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Arial" w:hAnsi="Arial"/>
          <w:color w:val="000000"/>
          <w:sz w:val="22"/>
        </w:rPr>
      </w:pPr>
      <w:r>
        <w:rPr>
          <w:rFonts w:ascii="Arial" w:hAnsi="Arial"/>
          <w:color w:val="000000"/>
          <w:sz w:val="22"/>
        </w:rPr>
        <w:t>third-party partners and the potential that such partners may not perform as anticipated, the fact that NRP2 and tRNA synthetase biology is not fully understood, uncertainty regarding the ultimate long-term impact of evolving macroeconomic and geopolitical conditions, the risk of delays in our clinical trials, risks associated with the discovery, development and regulation of our product candidates, including the risk that results from clinical trials or other studies may not support further development, the risk that we may cease or delay preclinical or clinical development activities for any of our existing or future product candidates for a variety of reasons, the fact that our collaboration agreements are subject to early termination, and the risk that we may not be able to raise the additional funding required for our business and product development plans, as well as those risks set forth in our most recent Annual Report on Form 10-K, Quarterly Reports on form 10-Q and in our other SEC filings. Except as required by law, we assume no obligation to update publicly any forward-looking statements, whether as a result of new information, future events or otherwise.</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6402"/>
        <w:gridCol w:w="146"/>
        <w:gridCol w:w="226"/>
        <w:gridCol w:w="1186"/>
        <w:gridCol w:w="181"/>
        <w:gridCol w:w="146"/>
        <w:gridCol w:w="226"/>
        <w:gridCol w:w="1186"/>
        <w:gridCol w:w="506"/>
      </w:tblGrid>
      <w:tr>
        <w:trPr/>
        <w:tc>
          <w:tcPr>
            <w:tcW w:w="6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9699" w:type="dxa"/>
            <w:gridSpan w:val="8"/>
            <w:tcBorders/>
            <w:shd w:fill="FFFFFF" w:val="clear"/>
            <w:vAlign w:val="center"/>
          </w:tcPr>
          <w:p>
            <w:pPr>
              <w:pStyle w:val="TableContents"/>
              <w:bidi w:val="0"/>
              <w:spacing w:before="0" w:after="283"/>
              <w:jc w:val="center"/>
              <w:rPr>
                <w:rFonts w:ascii="Arial" w:hAnsi="Arial"/>
                <w:b/>
                <w:color w:val="000000"/>
                <w:sz w:val="24"/>
              </w:rPr>
            </w:pPr>
            <w:r>
              <w:rPr>
                <w:rFonts w:ascii="Arial" w:hAnsi="Arial"/>
                <w:b/>
                <w:color w:val="000000"/>
                <w:sz w:val="24"/>
              </w:rPr>
              <w:t>ATYR PHARMA INC.</w:t>
            </w:r>
          </w:p>
        </w:tc>
        <w:tc>
          <w:tcPr>
            <w:tcW w:w="506" w:type="dxa"/>
            <w:tcBorders/>
            <w:shd w:fill="FFFFFF" w:val="clear"/>
            <w:vAlign w:val="center"/>
          </w:tcPr>
          <w:p>
            <w:pPr>
              <w:pStyle w:val="TableContents"/>
              <w:bidi w:val="0"/>
              <w:spacing w:before="0" w:after="283"/>
              <w:jc w:val="center"/>
              <w:rPr/>
            </w:pPr>
            <w:r>
              <w:rPr/>
              <w:t> </w:t>
            </w:r>
          </w:p>
        </w:tc>
      </w:tr>
      <w:tr>
        <w:trPr/>
        <w:tc>
          <w:tcPr>
            <w:tcW w:w="9699" w:type="dxa"/>
            <w:gridSpan w:val="8"/>
            <w:tcBorders/>
            <w:shd w:fill="FFFFFF" w:val="clear"/>
            <w:vAlign w:val="center"/>
          </w:tcPr>
          <w:p>
            <w:pPr>
              <w:pStyle w:val="TableContents"/>
              <w:bidi w:val="0"/>
              <w:spacing w:before="0" w:after="283"/>
              <w:jc w:val="center"/>
              <w:rPr>
                <w:rFonts w:ascii="Arial" w:hAnsi="Arial"/>
                <w:b/>
                <w:color w:val="000000"/>
                <w:sz w:val="24"/>
              </w:rPr>
            </w:pPr>
            <w:r>
              <w:rPr>
                <w:rFonts w:ascii="Arial" w:hAnsi="Arial"/>
                <w:b/>
                <w:color w:val="000000"/>
                <w:sz w:val="24"/>
              </w:rPr>
              <w:t>Condensed Consolidated Statements of Operations</w:t>
            </w:r>
          </w:p>
        </w:tc>
        <w:tc>
          <w:tcPr>
            <w:tcW w:w="506" w:type="dxa"/>
            <w:tcBorders/>
            <w:shd w:fill="FFFFFF" w:val="clear"/>
            <w:vAlign w:val="center"/>
          </w:tcPr>
          <w:p>
            <w:pPr>
              <w:pStyle w:val="TableContents"/>
              <w:bidi w:val="0"/>
              <w:spacing w:before="0" w:after="283"/>
              <w:jc w:val="center"/>
              <w:rPr/>
            </w:pPr>
            <w:r>
              <w:rPr/>
              <w:t> </w:t>
            </w:r>
          </w:p>
        </w:tc>
      </w:tr>
      <w:tr>
        <w:trPr/>
        <w:tc>
          <w:tcPr>
            <w:tcW w:w="9699" w:type="dxa"/>
            <w:gridSpan w:val="8"/>
            <w:tcBorders/>
            <w:shd w:fill="FFFFFF" w:val="clear"/>
            <w:vAlign w:val="center"/>
          </w:tcPr>
          <w:p>
            <w:pPr>
              <w:pStyle w:val="TableContents"/>
              <w:bidi w:val="0"/>
              <w:spacing w:before="0" w:after="283"/>
              <w:jc w:val="center"/>
              <w:rPr>
                <w:rFonts w:ascii="Arial" w:hAnsi="Arial"/>
                <w:color w:val="000000"/>
                <w:sz w:val="24"/>
              </w:rPr>
            </w:pPr>
            <w:r>
              <w:rPr>
                <w:rFonts w:ascii="Arial" w:hAnsi="Arial"/>
                <w:color w:val="000000"/>
                <w:sz w:val="24"/>
              </w:rPr>
              <w:t>(in thousands, except share and per share data)</w:t>
            </w:r>
          </w:p>
        </w:tc>
        <w:tc>
          <w:tcPr>
            <w:tcW w:w="506" w:type="dxa"/>
            <w:tcBorders/>
            <w:shd w:fill="FFFFFF" w:val="clear"/>
            <w:vAlign w:val="center"/>
          </w:tcPr>
          <w:p>
            <w:pPr>
              <w:pStyle w:val="TableContents"/>
              <w:bidi w:val="0"/>
              <w:spacing w:before="0" w:after="283"/>
              <w:jc w:val="center"/>
              <w:rPr/>
            </w:pPr>
            <w:r>
              <w:rPr/>
              <w:t> </w:t>
            </w:r>
          </w:p>
        </w:tc>
      </w:tr>
      <w:tr>
        <w:trPr/>
        <w:tc>
          <w:tcPr>
            <w:tcW w:w="64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51" w:type="dxa"/>
            <w:gridSpan w:val="6"/>
            <w:tcBorders/>
            <w:shd w:fill="FFFFFF" w:val="clear"/>
            <w:vAlign w:val="center"/>
          </w:tcPr>
          <w:p>
            <w:pPr>
              <w:pStyle w:val="TableContents"/>
              <w:bidi w:val="0"/>
              <w:spacing w:before="0" w:after="283"/>
              <w:jc w:val="center"/>
              <w:rPr/>
            </w:pPr>
            <w:r>
              <w:rPr/>
              <w:t> </w:t>
            </w:r>
          </w:p>
        </w:tc>
        <w:tc>
          <w:tcPr>
            <w:tcW w:w="506" w:type="dxa"/>
            <w:tcBorders/>
            <w:shd w:fill="FFFFFF" w:val="clear"/>
            <w:vAlign w:val="center"/>
          </w:tcPr>
          <w:p>
            <w:pPr>
              <w:pStyle w:val="TableContents"/>
              <w:bidi w:val="0"/>
              <w:spacing w:before="0" w:after="283"/>
              <w:jc w:val="center"/>
              <w:rPr/>
            </w:pPr>
            <w:r>
              <w:rPr/>
              <w:t> </w:t>
            </w:r>
          </w:p>
        </w:tc>
      </w:tr>
      <w:tr>
        <w:trPr/>
        <w:tc>
          <w:tcPr>
            <w:tcW w:w="64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51" w:type="dxa"/>
            <w:gridSpan w:val="6"/>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Three Months Ended</w:t>
            </w:r>
          </w:p>
        </w:tc>
        <w:tc>
          <w:tcPr>
            <w:tcW w:w="506" w:type="dxa"/>
            <w:tcBorders/>
            <w:shd w:fill="FFFFFF" w:val="clear"/>
            <w:vAlign w:val="center"/>
          </w:tcPr>
          <w:p>
            <w:pPr>
              <w:pStyle w:val="TableContents"/>
              <w:bidi w:val="0"/>
              <w:spacing w:before="0" w:after="283"/>
              <w:jc w:val="center"/>
              <w:rPr/>
            </w:pPr>
            <w:r>
              <w:rPr/>
              <w:t> </w:t>
            </w:r>
          </w:p>
        </w:tc>
      </w:tr>
      <w:tr>
        <w:trPr/>
        <w:tc>
          <w:tcPr>
            <w:tcW w:w="64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March 31,</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2023</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51" w:type="dxa"/>
            <w:gridSpan w:val="6"/>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(unaudited)</w:t>
            </w:r>
          </w:p>
        </w:tc>
        <w:tc>
          <w:tcPr>
            <w:tcW w:w="506" w:type="dxa"/>
            <w:tcBorders/>
            <w:shd w:fill="FFFFFF" w:val="clear"/>
            <w:vAlign w:val="center"/>
          </w:tcPr>
          <w:p>
            <w:pPr>
              <w:pStyle w:val="TableContents"/>
              <w:bidi w:val="0"/>
              <w:spacing w:before="0" w:after="283"/>
              <w:jc w:val="center"/>
              <w:rPr/>
            </w:pPr>
            <w:r>
              <w:rPr/>
              <w:t> </w:t>
            </w:r>
          </w:p>
        </w:tc>
      </w:tr>
      <w:tr>
        <w:trPr/>
        <w:tc>
          <w:tcPr>
            <w:tcW w:w="6402" w:type="dxa"/>
            <w:tcBorders/>
            <w:shd w:fill="FFFFFF" w:val="clear"/>
            <w:vAlign w:val="center"/>
          </w:tcPr>
          <w:p>
            <w:pPr>
              <w:pStyle w:val="TableContents"/>
              <w:bidi w:val="0"/>
              <w:spacing w:before="0" w:after="283"/>
              <w:jc w:val="left"/>
              <w:rPr>
                <w:rFonts w:ascii="Arial" w:hAnsi="Arial"/>
                <w:color w:val="000000"/>
                <w:sz w:val="22"/>
              </w:rPr>
            </w:pPr>
            <w:r>
              <w:rPr>
                <w:rFonts w:ascii="Arial" w:hAnsi="Arial"/>
                <w:color w:val="000000"/>
                <w:sz w:val="22"/>
              </w:rPr>
              <w:t>Revenues:</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506" w:type="dxa"/>
            <w:tcBorders/>
            <w:shd w:fill="FFFFFF" w:val="clear"/>
            <w:vAlign w:val="center"/>
          </w:tcPr>
          <w:p>
            <w:pPr>
              <w:pStyle w:val="TableContents"/>
              <w:bidi w:val="0"/>
              <w:spacing w:before="0" w:after="283"/>
              <w:ind w:left="0" w:right="0" w:firstLine="280"/>
              <w:jc w:val="right"/>
              <w:rPr/>
            </w:pPr>
            <w:r>
              <w:rPr/>
              <w:t> </w:t>
            </w:r>
          </w:p>
        </w:tc>
      </w:tr>
      <w:tr>
        <w:trPr/>
        <w:tc>
          <w:tcPr>
            <w:tcW w:w="6402" w:type="dxa"/>
            <w:tcBorders/>
            <w:shd w:fill="CFF0FC" w:val="clear"/>
            <w:vAlign w:val="center"/>
          </w:tcPr>
          <w:p>
            <w:pPr>
              <w:pStyle w:val="TableContents"/>
              <w:bidi w:val="0"/>
              <w:spacing w:before="0" w:after="283"/>
              <w:ind w:left="280" w:right="0" w:firstLine="280"/>
              <w:jc w:val="left"/>
              <w:rPr>
                <w:rFonts w:ascii="Arial" w:hAnsi="Arial"/>
                <w:color w:val="000000"/>
                <w:sz w:val="22"/>
              </w:rPr>
            </w:pPr>
            <w:r>
              <w:rPr>
                <w:rFonts w:ascii="Arial" w:hAnsi="Arial"/>
                <w:color w:val="000000"/>
                <w:sz w:val="22"/>
              </w:rPr>
              <w:t>License and collaboration agreement revenues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235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02" w:type="dxa"/>
            <w:tcBorders/>
            <w:shd w:fill="FFFFFF" w:val="clear"/>
            <w:vAlign w:val="center"/>
          </w:tcPr>
          <w:p>
            <w:pPr>
              <w:pStyle w:val="TableContents"/>
              <w:bidi w:val="0"/>
              <w:spacing w:before="0" w:after="283"/>
              <w:jc w:val="left"/>
              <w:rPr>
                <w:rFonts w:ascii="Arial" w:hAnsi="Arial"/>
                <w:color w:val="000000"/>
                <w:sz w:val="22"/>
              </w:rPr>
            </w:pPr>
            <w:r>
              <w:rPr>
                <w:rFonts w:ascii="Arial" w:hAnsi="Arial"/>
                <w:color w:val="000000"/>
                <w:sz w:val="22"/>
              </w:rPr>
              <w:t>Total revenues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235</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color w:val="000000"/>
              </w:rPr>
            </w:pPr>
            <w:r>
              <w:rPr>
                <w:color w:val="000000"/>
              </w:rPr>
              <w:t>—</w:t>
            </w:r>
          </w:p>
        </w:tc>
        <w:tc>
          <w:tcPr>
            <w:tcW w:w="506" w:type="dxa"/>
            <w:tcBorders/>
            <w:shd w:fill="FFFFFF" w:val="clear"/>
            <w:vAlign w:val="center"/>
          </w:tcPr>
          <w:p>
            <w:pPr>
              <w:pStyle w:val="TableContents"/>
              <w:bidi w:val="0"/>
              <w:spacing w:before="0" w:after="283"/>
              <w:jc w:val="left"/>
              <w:rPr/>
            </w:pPr>
            <w:r>
              <w:rPr/>
              <w:t> </w:t>
            </w:r>
          </w:p>
        </w:tc>
      </w:tr>
      <w:tr>
        <w:trPr/>
        <w:tc>
          <w:tcPr>
            <w:tcW w:w="6402" w:type="dxa"/>
            <w:tcBorders/>
            <w:shd w:fill="CFF0FC" w:val="clear"/>
            <w:vAlign w:val="center"/>
          </w:tcPr>
          <w:p>
            <w:pPr>
              <w:pStyle w:val="TableContents"/>
              <w:bidi w:val="0"/>
              <w:spacing w:before="0" w:after="283"/>
              <w:jc w:val="left"/>
              <w:rPr>
                <w:rFonts w:ascii="Arial" w:hAnsi="Arial"/>
                <w:color w:val="000000"/>
                <w:sz w:val="22"/>
              </w:rPr>
            </w:pPr>
            <w:r>
              <w:rPr>
                <w:rFonts w:ascii="Arial" w:hAnsi="Arial"/>
                <w:color w:val="000000"/>
                <w:sz w:val="22"/>
              </w:rPr>
              <w:t>Operating expenses:</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506" w:type="dxa"/>
            <w:tcBorders/>
            <w:shd w:fill="CFF0FC" w:val="clear"/>
            <w:vAlign w:val="center"/>
          </w:tcPr>
          <w:p>
            <w:pPr>
              <w:pStyle w:val="TableContents"/>
              <w:bidi w:val="0"/>
              <w:spacing w:before="0" w:after="283"/>
              <w:ind w:left="0" w:right="0" w:firstLine="280"/>
              <w:jc w:val="right"/>
              <w:rPr/>
            </w:pPr>
            <w:r>
              <w:rPr/>
              <w:t> </w:t>
            </w:r>
          </w:p>
        </w:tc>
      </w:tr>
      <w:tr>
        <w:trPr/>
        <w:tc>
          <w:tcPr>
            <w:tcW w:w="6402" w:type="dxa"/>
            <w:tcBorders/>
            <w:shd w:fill="FFFFFF" w:val="clear"/>
            <w:vAlign w:val="center"/>
          </w:tcPr>
          <w:p>
            <w:pPr>
              <w:pStyle w:val="TableContents"/>
              <w:bidi w:val="0"/>
              <w:spacing w:before="0" w:after="283"/>
              <w:ind w:left="280" w:right="0" w:firstLine="280"/>
              <w:jc w:val="left"/>
              <w:rPr>
                <w:rFonts w:ascii="Arial" w:hAnsi="Arial"/>
                <w:color w:val="000000"/>
                <w:sz w:val="22"/>
              </w:rPr>
            </w:pPr>
            <w:r>
              <w:rPr>
                <w:rFonts w:ascii="Arial" w:hAnsi="Arial"/>
                <w:color w:val="000000"/>
                <w:sz w:val="22"/>
              </w:rPr>
              <w:t>Research and development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13,364</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9,379</w:t>
            </w:r>
          </w:p>
        </w:tc>
        <w:tc>
          <w:tcPr>
            <w:tcW w:w="506" w:type="dxa"/>
            <w:tcBorders/>
            <w:shd w:fill="FFFFFF" w:val="clear"/>
            <w:vAlign w:val="center"/>
          </w:tcPr>
          <w:p>
            <w:pPr>
              <w:pStyle w:val="TableContents"/>
              <w:bidi w:val="0"/>
              <w:spacing w:before="0" w:after="283"/>
              <w:ind w:left="0" w:right="0" w:firstLine="280"/>
              <w:jc w:val="left"/>
              <w:rPr/>
            </w:pPr>
            <w:r>
              <w:rPr/>
              <w:t> </w:t>
            </w:r>
          </w:p>
        </w:tc>
      </w:tr>
      <w:tr>
        <w:trPr/>
        <w:tc>
          <w:tcPr>
            <w:tcW w:w="6402" w:type="dxa"/>
            <w:tcBorders/>
            <w:shd w:fill="CFF0FC" w:val="clear"/>
            <w:vAlign w:val="center"/>
          </w:tcPr>
          <w:p>
            <w:pPr>
              <w:pStyle w:val="TableContents"/>
              <w:bidi w:val="0"/>
              <w:spacing w:before="0" w:after="283"/>
              <w:ind w:left="280" w:right="0" w:firstLine="280"/>
              <w:jc w:val="left"/>
              <w:rPr>
                <w:rFonts w:ascii="Arial" w:hAnsi="Arial"/>
                <w:color w:val="000000"/>
                <w:sz w:val="22"/>
              </w:rPr>
            </w:pPr>
            <w:r>
              <w:rPr>
                <w:rFonts w:ascii="Arial" w:hAnsi="Arial"/>
                <w:color w:val="000000"/>
                <w:sz w:val="22"/>
              </w:rPr>
              <w:t>General and administrative</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3,507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3,408</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02" w:type="dxa"/>
            <w:tcBorders/>
            <w:shd w:fill="FFFFFF" w:val="clear"/>
            <w:vAlign w:val="center"/>
          </w:tcPr>
          <w:p>
            <w:pPr>
              <w:pStyle w:val="TableContents"/>
              <w:bidi w:val="0"/>
              <w:spacing w:before="0" w:after="283"/>
              <w:jc w:val="left"/>
              <w:rPr>
                <w:rFonts w:ascii="Arial" w:hAnsi="Arial"/>
                <w:color w:val="000000"/>
                <w:sz w:val="22"/>
              </w:rPr>
            </w:pPr>
            <w:r>
              <w:rPr>
                <w:rFonts w:ascii="Arial" w:hAnsi="Arial"/>
                <w:color w:val="000000"/>
                <w:sz w:val="22"/>
              </w:rPr>
              <w:t>Total operating expenses</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16,871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12,787</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02" w:type="dxa"/>
            <w:tcBorders/>
            <w:shd w:fill="CFF0FC" w:val="clear"/>
            <w:vAlign w:val="center"/>
          </w:tcPr>
          <w:p>
            <w:pPr>
              <w:pStyle w:val="TableContents"/>
              <w:bidi w:val="0"/>
              <w:spacing w:before="0" w:after="283"/>
              <w:jc w:val="left"/>
              <w:rPr>
                <w:rFonts w:ascii="Arial" w:hAnsi="Arial"/>
                <w:color w:val="000000"/>
                <w:sz w:val="22"/>
              </w:rPr>
            </w:pPr>
            <w:r>
              <w:rPr>
                <w:rFonts w:ascii="Arial" w:hAnsi="Arial"/>
                <w:color w:val="000000"/>
                <w:sz w:val="22"/>
              </w:rPr>
              <w:t>Loss from operations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186" w:type="dxa"/>
            <w:tcBorders/>
            <w:shd w:fill="CFF0FC" w:val="clear"/>
            <w:vAlign w:val="center"/>
          </w:tcPr>
          <w:p>
            <w:pPr>
              <w:pStyle w:val="TableContents"/>
              <w:bidi w:val="0"/>
              <w:spacing w:before="0" w:after="283"/>
              <w:jc w:val="right"/>
              <w:rPr>
                <w:rFonts w:ascii="Arial" w:hAnsi="Arial"/>
                <w:color w:val="000000"/>
                <w:sz w:val="22"/>
              </w:rPr>
            </w:pPr>
            <w:r>
              <w:rPr>
                <w:rFonts w:ascii="Arial" w:hAnsi="Arial"/>
                <w:color w:val="000000"/>
                <w:sz w:val="22"/>
              </w:rPr>
              <w:t>(16,636</w:t>
            </w:r>
          </w:p>
        </w:tc>
        <w:tc>
          <w:tcPr>
            <w:tcW w:w="181" w:type="dxa"/>
            <w:tcBorders/>
            <w:shd w:fill="CFF0FC" w:val="cle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186" w:type="dxa"/>
            <w:tcBorders/>
            <w:shd w:fill="CFF0FC" w:val="clear"/>
            <w:vAlign w:val="center"/>
          </w:tcPr>
          <w:p>
            <w:pPr>
              <w:pStyle w:val="TableContents"/>
              <w:bidi w:val="0"/>
              <w:spacing w:before="0" w:after="283"/>
              <w:jc w:val="right"/>
              <w:rPr>
                <w:rFonts w:ascii="Arial" w:hAnsi="Arial"/>
                <w:color w:val="000000"/>
                <w:sz w:val="22"/>
              </w:rPr>
            </w:pPr>
            <w:r>
              <w:rPr>
                <w:rFonts w:ascii="Arial" w:hAnsi="Arial"/>
                <w:color w:val="000000"/>
                <w:sz w:val="22"/>
              </w:rPr>
              <w:t>(12,787</w:t>
            </w:r>
          </w:p>
        </w:tc>
        <w:tc>
          <w:tcPr>
            <w:tcW w:w="506" w:type="dxa"/>
            <w:tcBorders/>
            <w:shd w:fill="CFF0FC" w:val="clear"/>
            <w:vAlign w:val="center"/>
          </w:tcPr>
          <w:p>
            <w:pPr>
              <w:pStyle w:val="TableContents"/>
              <w:bidi w:val="0"/>
              <w:spacing w:before="0" w:after="283"/>
              <w:ind w:left="0" w:right="0" w:firstLine="280"/>
              <w:jc w:val="left"/>
              <w:rPr>
                <w:rFonts w:ascii="Arial" w:hAnsi="Arial"/>
                <w:color w:val="000000"/>
                <w:sz w:val="22"/>
              </w:rPr>
            </w:pPr>
            <w:r>
              <w:rPr>
                <w:rFonts w:ascii="Arial" w:hAnsi="Arial"/>
                <w:color w:val="000000"/>
                <w:sz w:val="22"/>
              </w:rPr>
              <w:t>)</w:t>
            </w:r>
          </w:p>
        </w:tc>
      </w:tr>
      <w:tr>
        <w:trPr/>
        <w:tc>
          <w:tcPr>
            <w:tcW w:w="6402" w:type="dxa"/>
            <w:tcBorders/>
            <w:shd w:fill="FFFFFF" w:val="clear"/>
            <w:vAlign w:val="center"/>
          </w:tcPr>
          <w:p>
            <w:pPr>
              <w:pStyle w:val="TableContents"/>
              <w:bidi w:val="0"/>
              <w:spacing w:before="0" w:after="283"/>
              <w:ind w:left="280" w:right="0" w:firstLine="280"/>
              <w:jc w:val="left"/>
              <w:rPr>
                <w:rFonts w:ascii="Arial" w:hAnsi="Arial"/>
                <w:color w:val="000000"/>
                <w:sz w:val="22"/>
              </w:rPr>
            </w:pPr>
            <w:r>
              <w:rPr>
                <w:rFonts w:ascii="Arial" w:hAnsi="Arial"/>
                <w:color w:val="000000"/>
                <w:sz w:val="22"/>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1,149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835</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02" w:type="dxa"/>
            <w:tcBorders/>
            <w:shd w:fill="CFF0FC" w:val="clear"/>
            <w:vAlign w:val="center"/>
          </w:tcPr>
          <w:p>
            <w:pPr>
              <w:pStyle w:val="TableContents"/>
              <w:bidi w:val="0"/>
              <w:spacing w:before="0" w:after="283"/>
              <w:jc w:val="left"/>
              <w:rPr>
                <w:rFonts w:ascii="Arial" w:hAnsi="Arial"/>
                <w:color w:val="000000"/>
                <w:sz w:val="22"/>
              </w:rPr>
            </w:pPr>
            <w:r>
              <w:rPr>
                <w:rFonts w:ascii="Arial" w:hAnsi="Arial"/>
                <w:color w:val="000000"/>
                <w:sz w:val="22"/>
              </w:rPr>
              <w:t>Consolidated net loss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186" w:type="dxa"/>
            <w:tcBorders/>
            <w:shd w:fill="CFF0FC" w:val="clear"/>
            <w:vAlign w:val="center"/>
          </w:tcPr>
          <w:p>
            <w:pPr>
              <w:pStyle w:val="TableContents"/>
              <w:bidi w:val="0"/>
              <w:spacing w:before="0" w:after="283"/>
              <w:jc w:val="right"/>
              <w:rPr>
                <w:rFonts w:ascii="Arial" w:hAnsi="Arial"/>
                <w:color w:val="000000"/>
                <w:sz w:val="22"/>
              </w:rPr>
            </w:pPr>
            <w:r>
              <w:rPr>
                <w:rFonts w:ascii="Arial" w:hAnsi="Arial"/>
                <w:color w:val="000000"/>
                <w:sz w:val="22"/>
              </w:rPr>
              <w:t>(15,487</w:t>
            </w:r>
          </w:p>
        </w:tc>
        <w:tc>
          <w:tcPr>
            <w:tcW w:w="181" w:type="dxa"/>
            <w:tcBorders/>
            <w:shd w:fill="CFF0FC" w:val="cle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1186" w:type="dxa"/>
            <w:tcBorders/>
            <w:shd w:fill="CFF0FC" w:val="clear"/>
            <w:vAlign w:val="center"/>
          </w:tcPr>
          <w:p>
            <w:pPr>
              <w:pStyle w:val="TableContents"/>
              <w:bidi w:val="0"/>
              <w:spacing w:before="0" w:after="283"/>
              <w:jc w:val="right"/>
              <w:rPr>
                <w:rFonts w:ascii="Arial" w:hAnsi="Arial"/>
                <w:color w:val="000000"/>
                <w:sz w:val="22"/>
              </w:rPr>
            </w:pPr>
            <w:r>
              <w:rPr>
                <w:rFonts w:ascii="Arial" w:hAnsi="Arial"/>
                <w:color w:val="000000"/>
                <w:sz w:val="22"/>
              </w:rPr>
              <w:t>(11,952</w:t>
            </w:r>
          </w:p>
        </w:tc>
        <w:tc>
          <w:tcPr>
            <w:tcW w:w="506" w:type="dxa"/>
            <w:tcBorders/>
            <w:shd w:fill="CFF0FC" w:val="clear"/>
            <w:vAlign w:val="center"/>
          </w:tcPr>
          <w:p>
            <w:pPr>
              <w:pStyle w:val="TableContents"/>
              <w:bidi w:val="0"/>
              <w:spacing w:before="0" w:after="283"/>
              <w:ind w:left="0" w:right="0" w:firstLine="280"/>
              <w:jc w:val="left"/>
              <w:rPr>
                <w:rFonts w:ascii="Arial" w:hAnsi="Arial"/>
                <w:color w:val="000000"/>
                <w:sz w:val="22"/>
              </w:rPr>
            </w:pPr>
            <w:r>
              <w:rPr>
                <w:rFonts w:ascii="Arial" w:hAnsi="Arial"/>
                <w:color w:val="000000"/>
                <w:sz w:val="22"/>
              </w:rPr>
              <w:t>)</w:t>
            </w:r>
          </w:p>
        </w:tc>
      </w:tr>
      <w:tr>
        <w:trPr/>
        <w:tc>
          <w:tcPr>
            <w:tcW w:w="6402" w:type="dxa"/>
            <w:tcBorders/>
            <w:shd w:fill="FFFFFF" w:val="clear"/>
            <w:vAlign w:val="center"/>
          </w:tcPr>
          <w:p>
            <w:pPr>
              <w:pStyle w:val="TableContents"/>
              <w:bidi w:val="0"/>
              <w:spacing w:before="0" w:after="283"/>
              <w:ind w:left="280" w:right="0" w:firstLine="280"/>
              <w:jc w:val="left"/>
              <w:rPr>
                <w:rFonts w:ascii="Arial" w:hAnsi="Arial"/>
                <w:color w:val="000000"/>
                <w:sz w:val="22"/>
              </w:rPr>
            </w:pPr>
            <w:r>
              <w:rPr>
                <w:rFonts w:ascii="Arial" w:hAnsi="Arial"/>
                <w:color w:val="000000"/>
                <w:sz w:val="22"/>
              </w:rPr>
              <w:t>Net (gain) loss attributable to noncontrolling interest in Pangu BioPharma Limited</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FFFFFF" w:val="cle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02" w:type="dxa"/>
            <w:tcBorders/>
            <w:shd w:fill="CFF0FC" w:val="clear"/>
            <w:vAlign w:val="center"/>
          </w:tcPr>
          <w:p>
            <w:pPr>
              <w:pStyle w:val="TableContents"/>
              <w:bidi w:val="0"/>
              <w:spacing w:before="0" w:after="283"/>
              <w:jc w:val="left"/>
              <w:rPr>
                <w:rFonts w:ascii="Arial" w:hAnsi="Arial"/>
                <w:color w:val="000000"/>
                <w:sz w:val="22"/>
              </w:rPr>
            </w:pPr>
            <w:r>
              <w:rPr>
                <w:rFonts w:ascii="Arial" w:hAnsi="Arial"/>
                <w:color w:val="000000"/>
                <w:sz w:val="22"/>
              </w:rPr>
              <w:t>Net loss attributable to aTyr Pharma, Inc.</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(15,491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0FC" w:val="cle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(11,951</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r>
      <w:tr>
        <w:trPr/>
        <w:tc>
          <w:tcPr>
            <w:tcW w:w="6402" w:type="dxa"/>
            <w:tcBorders/>
            <w:shd w:fill="FFFFFF" w:val="clear"/>
            <w:vAlign w:val="center"/>
          </w:tcPr>
          <w:p>
            <w:pPr>
              <w:pStyle w:val="TableContents"/>
              <w:bidi w:val="0"/>
              <w:spacing w:before="0" w:after="283"/>
              <w:jc w:val="left"/>
              <w:rPr>
                <w:rFonts w:ascii="Arial" w:hAnsi="Arial"/>
                <w:color w:val="000000"/>
                <w:sz w:val="22"/>
              </w:rPr>
            </w:pPr>
            <w:r>
              <w:rPr>
                <w:rFonts w:ascii="Arial" w:hAnsi="Arial"/>
                <w:color w:val="000000"/>
                <w:sz w:val="22"/>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(0.23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(0.29</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r>
      <w:tr>
        <w:trPr/>
        <w:tc>
          <w:tcPr>
            <w:tcW w:w="6402" w:type="dxa"/>
            <w:tcBorders/>
            <w:shd w:fill="CFF0FC" w:val="clear"/>
            <w:vAlign w:val="center"/>
          </w:tcPr>
          <w:p>
            <w:pPr>
              <w:pStyle w:val="TableContents"/>
              <w:bidi w:val="0"/>
              <w:spacing w:before="0" w:after="283"/>
              <w:jc w:val="left"/>
              <w:rPr>
                <w:rFonts w:ascii="Arial" w:hAnsi="Arial"/>
                <w:color w:val="000000"/>
                <w:sz w:val="22"/>
              </w:rPr>
            </w:pPr>
            <w:r>
              <w:rPr>
                <w:rFonts w:ascii="Arial" w:hAnsi="Arial"/>
                <w:color w:val="000000"/>
                <w:sz w:val="22"/>
              </w:rPr>
              <w:t>Shares used in computing 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66,080,593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41,897,706</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27"/>
        <w:gridCol w:w="146"/>
        <w:gridCol w:w="262"/>
        <w:gridCol w:w="1030"/>
        <w:gridCol w:w="146"/>
        <w:gridCol w:w="146"/>
        <w:gridCol w:w="298"/>
        <w:gridCol w:w="1177"/>
        <w:gridCol w:w="473"/>
      </w:tblGrid>
      <w:tr>
        <w:trPr/>
        <w:tc>
          <w:tcPr>
            <w:tcW w:w="6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9732" w:type="dxa"/>
            <w:gridSpan w:val="8"/>
            <w:tcBorders/>
            <w:shd w:fill="FFFFFF" w:val="clear"/>
            <w:vAlign w:val="center"/>
          </w:tcPr>
          <w:p>
            <w:pPr>
              <w:pStyle w:val="TableContents"/>
              <w:bidi w:val="0"/>
              <w:spacing w:before="0" w:after="283"/>
              <w:jc w:val="center"/>
              <w:rPr>
                <w:rFonts w:ascii="Arial" w:hAnsi="Arial"/>
                <w:b/>
                <w:color w:val="000000"/>
                <w:sz w:val="24"/>
              </w:rPr>
            </w:pPr>
            <w:r>
              <w:rPr>
                <w:rFonts w:ascii="Arial" w:hAnsi="Arial"/>
                <w:b/>
                <w:color w:val="000000"/>
                <w:sz w:val="24"/>
              </w:rPr>
              <w:t>ATYR PHARMA INC.</w:t>
            </w:r>
          </w:p>
        </w:tc>
        <w:tc>
          <w:tcPr>
            <w:tcW w:w="473" w:type="dxa"/>
            <w:tcBorders/>
            <w:shd w:fill="FFFFFF" w:val="clear"/>
            <w:vAlign w:val="center"/>
          </w:tcPr>
          <w:p>
            <w:pPr>
              <w:pStyle w:val="TableContents"/>
              <w:bidi w:val="0"/>
              <w:spacing w:before="0" w:after="283"/>
              <w:jc w:val="center"/>
              <w:rPr/>
            </w:pPr>
            <w:r>
              <w:rPr/>
              <w:t> </w:t>
            </w:r>
          </w:p>
        </w:tc>
      </w:tr>
      <w:tr>
        <w:trPr/>
        <w:tc>
          <w:tcPr>
            <w:tcW w:w="9732" w:type="dxa"/>
            <w:gridSpan w:val="8"/>
            <w:tcBorders/>
            <w:shd w:fill="FFFFFF" w:val="clear"/>
            <w:vAlign w:val="center"/>
          </w:tcPr>
          <w:p>
            <w:pPr>
              <w:pStyle w:val="TableContents"/>
              <w:bidi w:val="0"/>
              <w:spacing w:before="0" w:after="283"/>
              <w:jc w:val="center"/>
              <w:rPr>
                <w:rFonts w:ascii="Arial" w:hAnsi="Arial"/>
                <w:b/>
                <w:color w:val="000000"/>
                <w:sz w:val="24"/>
              </w:rPr>
            </w:pPr>
            <w:r>
              <w:rPr>
                <w:rFonts w:ascii="Arial" w:hAnsi="Arial"/>
                <w:b/>
                <w:color w:val="000000"/>
                <w:sz w:val="24"/>
              </w:rPr>
              <w:t>Condensed Consolidated Balance Sheets</w:t>
            </w:r>
          </w:p>
        </w:tc>
        <w:tc>
          <w:tcPr>
            <w:tcW w:w="473" w:type="dxa"/>
            <w:tcBorders/>
            <w:shd w:fill="FFFFFF" w:val="clear"/>
            <w:vAlign w:val="center"/>
          </w:tcPr>
          <w:p>
            <w:pPr>
              <w:pStyle w:val="TableContents"/>
              <w:bidi w:val="0"/>
              <w:spacing w:before="0" w:after="283"/>
              <w:jc w:val="center"/>
              <w:rPr/>
            </w:pPr>
            <w:r>
              <w:rPr/>
              <w:t> </w:t>
            </w:r>
          </w:p>
        </w:tc>
      </w:tr>
      <w:tr>
        <w:trPr/>
        <w:tc>
          <w:tcPr>
            <w:tcW w:w="9732" w:type="dxa"/>
            <w:gridSpan w:val="8"/>
            <w:tcBorders/>
            <w:shd w:fill="FFFFFF" w:val="clear"/>
            <w:vAlign w:val="center"/>
          </w:tcPr>
          <w:p>
            <w:pPr>
              <w:pStyle w:val="TableContents"/>
              <w:bidi w:val="0"/>
              <w:spacing w:before="0" w:after="283"/>
              <w:jc w:val="center"/>
              <w:rPr>
                <w:rFonts w:ascii="Arial" w:hAnsi="Arial"/>
                <w:color w:val="000000"/>
                <w:sz w:val="24"/>
              </w:rPr>
            </w:pPr>
            <w:r>
              <w:rPr>
                <w:rFonts w:ascii="Arial" w:hAnsi="Arial"/>
                <w:color w:val="000000"/>
                <w:sz w:val="24"/>
              </w:rPr>
              <w:t>(in thousands)</w:t>
            </w:r>
          </w:p>
        </w:tc>
        <w:tc>
          <w:tcPr>
            <w:tcW w:w="473" w:type="dxa"/>
            <w:tcBorders/>
            <w:shd w:fill="FFFFFF" w:val="clear"/>
            <w:vAlign w:val="center"/>
          </w:tcPr>
          <w:p>
            <w:pPr>
              <w:pStyle w:val="TableContents"/>
              <w:bidi w:val="0"/>
              <w:spacing w:before="0" w:after="283"/>
              <w:jc w:val="center"/>
              <w:rPr/>
            </w:pPr>
            <w:r>
              <w:rPr/>
              <w:t> </w:t>
            </w:r>
          </w:p>
        </w:tc>
      </w:tr>
      <w:tr>
        <w:trPr/>
        <w:tc>
          <w:tcPr>
            <w:tcW w:w="652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5" w:type="dxa"/>
            <w:gridSpan w:val="2"/>
            <w:tcBorders/>
            <w:shd w:fill="FFFFFF" w:val="clear"/>
            <w:vAlign w:val="center"/>
          </w:tcPr>
          <w:p>
            <w:pPr>
              <w:pStyle w:val="TableContents"/>
              <w:bidi w:val="0"/>
              <w:spacing w:before="0" w:after="283"/>
              <w:jc w:val="center"/>
              <w:rPr/>
            </w:pPr>
            <w:r>
              <w:rPr/>
              <w:t> </w:t>
            </w:r>
          </w:p>
        </w:tc>
        <w:tc>
          <w:tcPr>
            <w:tcW w:w="473" w:type="dxa"/>
            <w:tcBorders/>
            <w:shd w:fill="FFFFFF" w:val="clear"/>
            <w:vAlign w:val="center"/>
          </w:tcPr>
          <w:p>
            <w:pPr>
              <w:pStyle w:val="TableContents"/>
              <w:bidi w:val="0"/>
              <w:spacing w:before="0" w:after="283"/>
              <w:jc w:val="center"/>
              <w:rPr/>
            </w:pPr>
            <w:r>
              <w:rPr/>
              <w:t> </w:t>
            </w:r>
          </w:p>
        </w:tc>
      </w:tr>
      <w:tr>
        <w:trPr/>
        <w:tc>
          <w:tcPr>
            <w:tcW w:w="6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2" w:type="dxa"/>
            <w:gridSpan w:val="2"/>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5" w:type="dxa"/>
            <w:gridSpan w:val="2"/>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w:t>
            </w:r>
          </w:p>
        </w:tc>
        <w:tc>
          <w:tcPr>
            <w:tcW w:w="473" w:type="dxa"/>
            <w:tcBorders/>
            <w:shd w:fill="FFFFFF" w:val="clear"/>
            <w:vAlign w:val="center"/>
          </w:tcPr>
          <w:p>
            <w:pPr>
              <w:pStyle w:val="TableContents"/>
              <w:bidi w:val="0"/>
              <w:spacing w:before="0" w:after="283"/>
              <w:jc w:val="center"/>
              <w:rPr/>
            </w:pPr>
            <w:r>
              <w:rPr/>
              <w:t> </w:t>
            </w:r>
          </w:p>
        </w:tc>
      </w:tr>
      <w:tr>
        <w:trPr/>
        <w:tc>
          <w:tcPr>
            <w:tcW w:w="6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2023</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2" w:type="dxa"/>
            <w:gridSpan w:val="2"/>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(unaudited)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5" w:type="dxa"/>
            <w:gridSpan w:val="2"/>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r>
      <w:tr>
        <w:trPr/>
        <w:tc>
          <w:tcPr>
            <w:tcW w:w="6527" w:type="dxa"/>
            <w:tcBorders/>
            <w:shd w:fill="CFF0FC" w:val="clear"/>
            <w:vAlign w:val="center"/>
          </w:tcPr>
          <w:p>
            <w:pPr>
              <w:pStyle w:val="TableContents"/>
              <w:bidi w:val="0"/>
              <w:spacing w:before="0" w:after="283"/>
              <w:jc w:val="left"/>
              <w:rPr>
                <w:rFonts w:ascii="Arial" w:hAnsi="Arial"/>
                <w:color w:val="000000"/>
                <w:sz w:val="22"/>
              </w:rPr>
            </w:pPr>
            <w:r>
              <w:rPr>
                <w:rFonts w:ascii="Arial" w:hAnsi="Arial"/>
                <w:color w:val="000000"/>
                <w:sz w:val="22"/>
              </w:rPr>
              <w:t>Cash, cash equivalents, restricted cash and available-for-sale investments</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030" w:type="dxa"/>
            <w:tcBorders/>
            <w:shd w:fill="CFF0FC" w:val="clear"/>
            <w:vAlign w:val="center"/>
          </w:tcPr>
          <w:p>
            <w:pPr>
              <w:pStyle w:val="TableContents"/>
              <w:bidi w:val="0"/>
              <w:spacing w:before="0" w:after="283"/>
              <w:jc w:val="right"/>
              <w:rPr>
                <w:rFonts w:ascii="Arial" w:hAnsi="Arial"/>
                <w:color w:val="000000"/>
                <w:sz w:val="22"/>
              </w:rPr>
            </w:pPr>
            <w:r>
              <w:rPr>
                <w:rFonts w:ascii="Arial" w:hAnsi="Arial"/>
                <w:color w:val="000000"/>
                <w:sz w:val="22"/>
              </w:rPr>
              <w:t>87,710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77" w:type="dxa"/>
            <w:tcBorders/>
            <w:shd w:fill="CFF0FC" w:val="clear"/>
            <w:vAlign w:val="center"/>
          </w:tcPr>
          <w:p>
            <w:pPr>
              <w:pStyle w:val="TableContents"/>
              <w:bidi w:val="0"/>
              <w:spacing w:before="0" w:after="283"/>
              <w:jc w:val="right"/>
              <w:rPr>
                <w:rFonts w:ascii="Arial" w:hAnsi="Arial"/>
                <w:color w:val="000000"/>
                <w:sz w:val="22"/>
              </w:rPr>
            </w:pPr>
            <w:r>
              <w:rPr>
                <w:rFonts w:ascii="Arial" w:hAnsi="Arial"/>
                <w:color w:val="000000"/>
                <w:sz w:val="22"/>
              </w:rPr>
              <w:t>101,650</w:t>
            </w:r>
          </w:p>
        </w:tc>
        <w:tc>
          <w:tcPr>
            <w:tcW w:w="473" w:type="dxa"/>
            <w:tcBorders/>
            <w:shd w:fill="CFF0FC" w:val="clear"/>
            <w:vAlign w:val="center"/>
          </w:tcPr>
          <w:p>
            <w:pPr>
              <w:pStyle w:val="TableContents"/>
              <w:bidi w:val="0"/>
              <w:spacing w:before="0" w:after="283"/>
              <w:jc w:val="left"/>
              <w:rPr/>
            </w:pPr>
            <w:r>
              <w:rPr/>
              <w:t> </w:t>
            </w:r>
          </w:p>
        </w:tc>
      </w:tr>
      <w:tr>
        <w:trPr/>
        <w:tc>
          <w:tcPr>
            <w:tcW w:w="6527" w:type="dxa"/>
            <w:tcBorders/>
            <w:shd w:fill="FFFFFF" w:val="clear"/>
            <w:vAlign w:val="center"/>
          </w:tcPr>
          <w:p>
            <w:pPr>
              <w:pStyle w:val="TableContents"/>
              <w:bidi w:val="0"/>
              <w:spacing w:before="0" w:after="283"/>
              <w:jc w:val="left"/>
              <w:rPr>
                <w:rFonts w:ascii="Arial" w:hAnsi="Arial"/>
                <w:color w:val="000000"/>
                <w:sz w:val="22"/>
              </w:rPr>
            </w:pPr>
            <w:r>
              <w:rPr>
                <w:rFonts w:ascii="Arial" w:hAnsi="Arial"/>
                <w:color w:val="000000"/>
                <w:sz w:val="22"/>
              </w:rPr>
              <w:t>Other receivables</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2,476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2,436</w:t>
            </w:r>
          </w:p>
        </w:tc>
        <w:tc>
          <w:tcPr>
            <w:tcW w:w="473" w:type="dxa"/>
            <w:tcBorders/>
            <w:shd w:fill="FFFFFF" w:val="clear"/>
            <w:vAlign w:val="center"/>
          </w:tcPr>
          <w:p>
            <w:pPr>
              <w:pStyle w:val="TableContents"/>
              <w:bidi w:val="0"/>
              <w:spacing w:before="0" w:after="283"/>
              <w:jc w:val="left"/>
              <w:rPr/>
            </w:pPr>
            <w:r>
              <w:rPr/>
              <w:t> </w:t>
            </w:r>
          </w:p>
        </w:tc>
      </w:tr>
      <w:tr>
        <w:trPr/>
        <w:tc>
          <w:tcPr>
            <w:tcW w:w="6527" w:type="dxa"/>
            <w:tcBorders/>
            <w:shd w:fill="CFF0FC" w:val="clear"/>
            <w:vAlign w:val="center"/>
          </w:tcPr>
          <w:p>
            <w:pPr>
              <w:pStyle w:val="TableContents"/>
              <w:bidi w:val="0"/>
              <w:spacing w:before="0" w:after="283"/>
              <w:jc w:val="left"/>
              <w:rPr>
                <w:rFonts w:ascii="Arial" w:hAnsi="Arial"/>
                <w:color w:val="000000"/>
                <w:sz w:val="22"/>
              </w:rPr>
            </w:pPr>
            <w:r>
              <w:rPr>
                <w:rFonts w:ascii="Arial" w:hAnsi="Arial"/>
                <w:color w:val="000000"/>
                <w:sz w:val="22"/>
              </w:rPr>
              <w:t>Property and equipment, net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1030" w:type="dxa"/>
            <w:tcBorders/>
            <w:shd w:fill="CFF0FC" w:val="clear"/>
            <w:vAlign w:val="center"/>
          </w:tcPr>
          <w:p>
            <w:pPr>
              <w:pStyle w:val="TableContents"/>
              <w:bidi w:val="0"/>
              <w:spacing w:before="0" w:after="283"/>
              <w:jc w:val="right"/>
              <w:rPr>
                <w:rFonts w:ascii="Arial" w:hAnsi="Arial"/>
                <w:color w:val="000000"/>
                <w:sz w:val="22"/>
              </w:rPr>
            </w:pPr>
            <w:r>
              <w:rPr>
                <w:rFonts w:ascii="Arial" w:hAnsi="Arial"/>
                <w:color w:val="000000"/>
                <w:sz w:val="22"/>
              </w:rPr>
              <w:t>5,353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177" w:type="dxa"/>
            <w:tcBorders/>
            <w:shd w:fill="CFF0FC" w:val="clear"/>
            <w:vAlign w:val="center"/>
          </w:tcPr>
          <w:p>
            <w:pPr>
              <w:pStyle w:val="TableContents"/>
              <w:bidi w:val="0"/>
              <w:spacing w:before="0" w:after="283"/>
              <w:jc w:val="right"/>
              <w:rPr>
                <w:rFonts w:ascii="Arial" w:hAnsi="Arial"/>
                <w:color w:val="000000"/>
                <w:sz w:val="22"/>
              </w:rPr>
            </w:pPr>
            <w:r>
              <w:rPr>
                <w:rFonts w:ascii="Arial" w:hAnsi="Arial"/>
                <w:color w:val="000000"/>
                <w:sz w:val="22"/>
              </w:rPr>
              <w:t>5,531</w:t>
            </w:r>
          </w:p>
        </w:tc>
        <w:tc>
          <w:tcPr>
            <w:tcW w:w="473" w:type="dxa"/>
            <w:tcBorders/>
            <w:shd w:fill="CFF0FC" w:val="clear"/>
            <w:vAlign w:val="center"/>
          </w:tcPr>
          <w:p>
            <w:pPr>
              <w:pStyle w:val="TableContents"/>
              <w:bidi w:val="0"/>
              <w:spacing w:before="0" w:after="283"/>
              <w:jc w:val="left"/>
              <w:rPr/>
            </w:pPr>
            <w:r>
              <w:rPr/>
              <w:t> </w:t>
            </w:r>
          </w:p>
        </w:tc>
      </w:tr>
      <w:tr>
        <w:trPr/>
        <w:tc>
          <w:tcPr>
            <w:tcW w:w="6527" w:type="dxa"/>
            <w:tcBorders/>
            <w:shd w:fill="FFFFFF" w:val="clear"/>
            <w:vAlign w:val="center"/>
          </w:tcPr>
          <w:p>
            <w:pPr>
              <w:pStyle w:val="TableContents"/>
              <w:bidi w:val="0"/>
              <w:spacing w:before="0" w:after="283"/>
              <w:jc w:val="left"/>
              <w:rPr>
                <w:rFonts w:ascii="Arial" w:hAnsi="Arial"/>
                <w:color w:val="000000"/>
                <w:sz w:val="22"/>
              </w:rPr>
            </w:pPr>
            <w:r>
              <w:rPr>
                <w:rFonts w:ascii="Arial" w:hAnsi="Arial"/>
                <w:color w:val="000000"/>
                <w:sz w:val="22"/>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5,999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6,727</w:t>
            </w:r>
          </w:p>
        </w:tc>
        <w:tc>
          <w:tcPr>
            <w:tcW w:w="473" w:type="dxa"/>
            <w:tcBorders/>
            <w:shd w:fill="FFFFFF" w:val="clear"/>
            <w:vAlign w:val="center"/>
          </w:tcPr>
          <w:p>
            <w:pPr>
              <w:pStyle w:val="TableContents"/>
              <w:bidi w:val="0"/>
              <w:spacing w:before="0" w:after="283"/>
              <w:jc w:val="left"/>
              <w:rPr/>
            </w:pPr>
            <w:r>
              <w:rPr/>
              <w:t> </w:t>
            </w:r>
          </w:p>
        </w:tc>
      </w:tr>
      <w:tr>
        <w:trPr/>
        <w:tc>
          <w:tcPr>
            <w:tcW w:w="6527" w:type="dxa"/>
            <w:tcBorders/>
            <w:shd w:fill="CFF0FC" w:val="clear"/>
            <w:vAlign w:val="center"/>
          </w:tcPr>
          <w:p>
            <w:pPr>
              <w:pStyle w:val="TableContents"/>
              <w:bidi w:val="0"/>
              <w:spacing w:before="0" w:after="283"/>
              <w:jc w:val="left"/>
              <w:rPr>
                <w:rFonts w:ascii="Arial" w:hAnsi="Arial"/>
                <w:color w:val="000000"/>
                <w:sz w:val="22"/>
              </w:rPr>
            </w:pPr>
            <w:r>
              <w:rPr>
                <w:rFonts w:ascii="Arial" w:hAnsi="Arial"/>
                <w:color w:val="000000"/>
                <w:sz w:val="22"/>
              </w:rPr>
              <w:t>Financing lease, right-of-use assets</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1030" w:type="dxa"/>
            <w:tcBorders/>
            <w:shd w:fill="CFF0FC" w:val="clear"/>
            <w:vAlign w:val="center"/>
          </w:tcPr>
          <w:p>
            <w:pPr>
              <w:pStyle w:val="TableContents"/>
              <w:bidi w:val="0"/>
              <w:spacing w:before="0" w:after="283"/>
              <w:jc w:val="right"/>
              <w:rPr>
                <w:rFonts w:ascii="Arial" w:hAnsi="Arial"/>
                <w:color w:val="000000"/>
                <w:sz w:val="22"/>
              </w:rPr>
            </w:pPr>
            <w:r>
              <w:rPr>
                <w:rFonts w:ascii="Arial" w:hAnsi="Arial"/>
                <w:color w:val="000000"/>
                <w:sz w:val="22"/>
              </w:rPr>
              <w:t>1,639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177" w:type="dxa"/>
            <w:tcBorders/>
            <w:shd w:fill="CFF0FC" w:val="clear"/>
            <w:vAlign w:val="center"/>
          </w:tcPr>
          <w:p>
            <w:pPr>
              <w:pStyle w:val="TableContents"/>
              <w:bidi w:val="0"/>
              <w:spacing w:before="0" w:after="283"/>
              <w:jc w:val="right"/>
              <w:rPr>
                <w:rFonts w:ascii="Arial" w:hAnsi="Arial"/>
                <w:color w:val="000000"/>
                <w:sz w:val="22"/>
              </w:rPr>
            </w:pPr>
            <w:r>
              <w:rPr>
                <w:rFonts w:ascii="Arial" w:hAnsi="Arial"/>
                <w:color w:val="000000"/>
                <w:sz w:val="22"/>
              </w:rPr>
              <w:t>1,788</w:t>
            </w:r>
          </w:p>
        </w:tc>
        <w:tc>
          <w:tcPr>
            <w:tcW w:w="473" w:type="dxa"/>
            <w:tcBorders/>
            <w:shd w:fill="CFF0FC" w:val="clear"/>
            <w:vAlign w:val="center"/>
          </w:tcPr>
          <w:p>
            <w:pPr>
              <w:pStyle w:val="TableContents"/>
              <w:bidi w:val="0"/>
              <w:spacing w:before="0" w:after="283"/>
              <w:jc w:val="left"/>
              <w:rPr/>
            </w:pPr>
            <w:r>
              <w:rPr/>
              <w:t> </w:t>
            </w:r>
          </w:p>
        </w:tc>
      </w:tr>
      <w:tr>
        <w:trPr/>
        <w:tc>
          <w:tcPr>
            <w:tcW w:w="6527" w:type="dxa"/>
            <w:tcBorders/>
            <w:shd w:fill="FFFFFF" w:val="clear"/>
            <w:vAlign w:val="center"/>
          </w:tcPr>
          <w:p>
            <w:pPr>
              <w:pStyle w:val="TableContents"/>
              <w:bidi w:val="0"/>
              <w:spacing w:before="0" w:after="283"/>
              <w:jc w:val="left"/>
              <w:rPr>
                <w:rFonts w:ascii="Arial" w:hAnsi="Arial"/>
                <w:color w:val="000000"/>
                <w:sz w:val="22"/>
              </w:rPr>
            </w:pPr>
            <w:r>
              <w:rPr>
                <w:rFonts w:ascii="Arial" w:hAnsi="Arial"/>
                <w:color w:val="000000"/>
                <w:sz w:val="22"/>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10,074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2,521</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527" w:type="dxa"/>
            <w:tcBorders/>
            <w:shd w:fill="CFF0FC" w:val="clear"/>
            <w:vAlign w:val="center"/>
          </w:tcPr>
          <w:p>
            <w:pPr>
              <w:pStyle w:val="TableContents"/>
              <w:bidi w:val="0"/>
              <w:spacing w:before="0" w:after="283"/>
              <w:ind w:left="280" w:right="0" w:firstLine="280"/>
              <w:jc w:val="left"/>
              <w:rPr>
                <w:rFonts w:ascii="Arial" w:hAnsi="Arial"/>
                <w:color w:val="000000"/>
                <w:sz w:val="22"/>
              </w:rPr>
            </w:pPr>
            <w:r>
              <w:rPr>
                <w:rFonts w:ascii="Arial" w:hAnsi="Arial"/>
                <w:color w:val="000000"/>
                <w:sz w:val="22"/>
              </w:rPr>
              <w:t>Total assets</w:t>
            </w:r>
          </w:p>
        </w:tc>
        <w:tc>
          <w:tcPr>
            <w:tcW w:w="146" w:type="dxa"/>
            <w:tcBorders/>
            <w:shd w:fill="CFF0FC" w:val="cle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113,251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120,653</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5" w:type="dxa"/>
            <w:gridSpan w:val="2"/>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r>
      <w:tr>
        <w:trPr/>
        <w:tc>
          <w:tcPr>
            <w:tcW w:w="6527" w:type="dxa"/>
            <w:tcBorders/>
            <w:shd w:fill="CFF0FC" w:val="clear"/>
            <w:vAlign w:val="center"/>
          </w:tcPr>
          <w:p>
            <w:pPr>
              <w:pStyle w:val="TableContents"/>
              <w:bidi w:val="0"/>
              <w:spacing w:before="0" w:after="283"/>
              <w:jc w:val="left"/>
              <w:rPr>
                <w:rFonts w:ascii="Arial" w:hAnsi="Arial"/>
                <w:color w:val="000000"/>
                <w:sz w:val="22"/>
              </w:rPr>
            </w:pPr>
            <w:r>
              <w:rPr>
                <w:rFonts w:ascii="Arial" w:hAnsi="Arial"/>
                <w:color w:val="000000"/>
                <w:sz w:val="22"/>
              </w:rPr>
              <w:t>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030" w:type="dxa"/>
            <w:tcBorders/>
            <w:shd w:fill="CFF0FC" w:val="clear"/>
            <w:vAlign w:val="center"/>
          </w:tcPr>
          <w:p>
            <w:pPr>
              <w:pStyle w:val="TableContents"/>
              <w:bidi w:val="0"/>
              <w:spacing w:before="0" w:after="283"/>
              <w:jc w:val="right"/>
              <w:rPr>
                <w:rFonts w:ascii="Arial" w:hAnsi="Arial"/>
                <w:color w:val="000000"/>
                <w:sz w:val="22"/>
              </w:rPr>
            </w:pPr>
            <w:r>
              <w:rPr>
                <w:rFonts w:ascii="Arial" w:hAnsi="Arial"/>
                <w:color w:val="000000"/>
                <w:sz w:val="22"/>
              </w:rPr>
              <w:t>14,843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77" w:type="dxa"/>
            <w:tcBorders/>
            <w:shd w:fill="CFF0FC" w:val="clear"/>
            <w:vAlign w:val="center"/>
          </w:tcPr>
          <w:p>
            <w:pPr>
              <w:pStyle w:val="TableContents"/>
              <w:bidi w:val="0"/>
              <w:spacing w:before="0" w:after="283"/>
              <w:jc w:val="right"/>
              <w:rPr>
                <w:rFonts w:ascii="Arial" w:hAnsi="Arial"/>
                <w:color w:val="000000"/>
                <w:sz w:val="22"/>
              </w:rPr>
            </w:pPr>
            <w:r>
              <w:rPr>
                <w:rFonts w:ascii="Arial" w:hAnsi="Arial"/>
                <w:color w:val="000000"/>
                <w:sz w:val="22"/>
              </w:rPr>
              <w:t>15,088</w:t>
            </w:r>
          </w:p>
        </w:tc>
        <w:tc>
          <w:tcPr>
            <w:tcW w:w="473" w:type="dxa"/>
            <w:tcBorders/>
            <w:shd w:fill="CFF0FC" w:val="clear"/>
            <w:vAlign w:val="center"/>
          </w:tcPr>
          <w:p>
            <w:pPr>
              <w:pStyle w:val="TableContents"/>
              <w:bidi w:val="0"/>
              <w:spacing w:before="0" w:after="283"/>
              <w:jc w:val="left"/>
              <w:rPr/>
            </w:pPr>
            <w:r>
              <w:rPr/>
              <w:t> </w:t>
            </w:r>
          </w:p>
        </w:tc>
      </w:tr>
      <w:tr>
        <w:trPr/>
        <w:tc>
          <w:tcPr>
            <w:tcW w:w="6527" w:type="dxa"/>
            <w:tcBorders/>
            <w:shd w:fill="FFFFFF" w:val="clear"/>
            <w:vAlign w:val="center"/>
          </w:tcPr>
          <w:p>
            <w:pPr>
              <w:pStyle w:val="TableContents"/>
              <w:bidi w:val="0"/>
              <w:spacing w:before="0" w:after="283"/>
              <w:jc w:val="left"/>
              <w:rPr>
                <w:rFonts w:ascii="Arial" w:hAnsi="Arial"/>
                <w:color w:val="000000"/>
                <w:sz w:val="22"/>
              </w:rPr>
            </w:pPr>
            <w:r>
              <w:rPr>
                <w:rFonts w:ascii="Arial" w:hAnsi="Arial"/>
                <w:color w:val="000000"/>
                <w:sz w:val="22"/>
              </w:rPr>
              <w:t>Current portion of operating lease liability</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629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831</w:t>
            </w:r>
          </w:p>
        </w:tc>
        <w:tc>
          <w:tcPr>
            <w:tcW w:w="473" w:type="dxa"/>
            <w:tcBorders/>
            <w:shd w:fill="FFFFFF" w:val="clear"/>
            <w:vAlign w:val="center"/>
          </w:tcPr>
          <w:p>
            <w:pPr>
              <w:pStyle w:val="TableContents"/>
              <w:bidi w:val="0"/>
              <w:spacing w:before="0" w:after="283"/>
              <w:jc w:val="left"/>
              <w:rPr/>
            </w:pPr>
            <w:r>
              <w:rPr/>
              <w:t> </w:t>
            </w:r>
          </w:p>
        </w:tc>
      </w:tr>
      <w:tr>
        <w:trPr/>
        <w:tc>
          <w:tcPr>
            <w:tcW w:w="6527" w:type="dxa"/>
            <w:tcBorders/>
            <w:shd w:fill="CFF0FC" w:val="clear"/>
            <w:vAlign w:val="center"/>
          </w:tcPr>
          <w:p>
            <w:pPr>
              <w:pStyle w:val="TableContents"/>
              <w:bidi w:val="0"/>
              <w:spacing w:before="0" w:after="283"/>
              <w:jc w:val="left"/>
              <w:rPr>
                <w:rFonts w:ascii="Arial" w:hAnsi="Arial"/>
                <w:color w:val="000000"/>
                <w:sz w:val="22"/>
              </w:rPr>
            </w:pPr>
            <w:r>
              <w:rPr>
                <w:rFonts w:ascii="Arial" w:hAnsi="Arial"/>
                <w:color w:val="000000"/>
                <w:sz w:val="22"/>
              </w:rPr>
              <w:t>Current portion of financing lease liability</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1030" w:type="dxa"/>
            <w:tcBorders/>
            <w:shd w:fill="CFF0FC" w:val="clear"/>
            <w:vAlign w:val="center"/>
          </w:tcPr>
          <w:p>
            <w:pPr>
              <w:pStyle w:val="TableContents"/>
              <w:bidi w:val="0"/>
              <w:spacing w:before="0" w:after="283"/>
              <w:jc w:val="right"/>
              <w:rPr>
                <w:rFonts w:ascii="Arial" w:hAnsi="Arial"/>
                <w:color w:val="000000"/>
                <w:sz w:val="22"/>
              </w:rPr>
            </w:pPr>
            <w:r>
              <w:rPr>
                <w:rFonts w:ascii="Arial" w:hAnsi="Arial"/>
                <w:color w:val="000000"/>
                <w:sz w:val="22"/>
              </w:rPr>
              <w:t>507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177" w:type="dxa"/>
            <w:tcBorders/>
            <w:shd w:fill="CFF0FC" w:val="clear"/>
            <w:vAlign w:val="center"/>
          </w:tcPr>
          <w:p>
            <w:pPr>
              <w:pStyle w:val="TableContents"/>
              <w:bidi w:val="0"/>
              <w:spacing w:before="0" w:after="283"/>
              <w:jc w:val="right"/>
              <w:rPr>
                <w:rFonts w:ascii="Arial" w:hAnsi="Arial"/>
                <w:color w:val="000000"/>
                <w:sz w:val="22"/>
              </w:rPr>
            </w:pPr>
            <w:r>
              <w:rPr>
                <w:rFonts w:ascii="Arial" w:hAnsi="Arial"/>
                <w:color w:val="000000"/>
                <w:sz w:val="22"/>
              </w:rPr>
              <w:t>497</w:t>
            </w:r>
          </w:p>
        </w:tc>
        <w:tc>
          <w:tcPr>
            <w:tcW w:w="473" w:type="dxa"/>
            <w:tcBorders/>
            <w:shd w:fill="CFF0FC" w:val="clear"/>
            <w:vAlign w:val="center"/>
          </w:tcPr>
          <w:p>
            <w:pPr>
              <w:pStyle w:val="TableContents"/>
              <w:bidi w:val="0"/>
              <w:spacing w:before="0" w:after="283"/>
              <w:jc w:val="left"/>
              <w:rPr/>
            </w:pPr>
            <w:r>
              <w:rPr/>
              <w:t> </w:t>
            </w:r>
          </w:p>
        </w:tc>
      </w:tr>
      <w:tr>
        <w:trPr/>
        <w:tc>
          <w:tcPr>
            <w:tcW w:w="6527" w:type="dxa"/>
            <w:tcBorders/>
            <w:shd w:fill="FFFFFF" w:val="clear"/>
            <w:vAlign w:val="center"/>
          </w:tcPr>
          <w:p>
            <w:pPr>
              <w:pStyle w:val="TableContents"/>
              <w:bidi w:val="0"/>
              <w:spacing w:before="0" w:after="283"/>
              <w:jc w:val="left"/>
              <w:rPr>
                <w:rFonts w:ascii="Arial" w:hAnsi="Arial"/>
                <w:color w:val="000000"/>
                <w:sz w:val="22"/>
              </w:rPr>
            </w:pPr>
            <w:r>
              <w:rPr>
                <w:rFonts w:ascii="Arial" w:hAnsi="Arial"/>
                <w:color w:val="000000"/>
                <w:sz w:val="22"/>
              </w:rPr>
              <w:t>Long-term operating lease liability, net of current portion</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11,693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Arial" w:hAnsi="Arial"/>
                <w:color w:val="000000"/>
                <w:sz w:val="22"/>
              </w:rPr>
            </w:pPr>
            <w:r>
              <w:rPr>
                <w:rFonts w:ascii="Arial" w:hAnsi="Arial"/>
                <w:color w:val="000000"/>
                <w:sz w:val="22"/>
              </w:rPr>
              <w:t>12,339</w:t>
            </w:r>
          </w:p>
        </w:tc>
        <w:tc>
          <w:tcPr>
            <w:tcW w:w="473" w:type="dxa"/>
            <w:tcBorders/>
            <w:shd w:fill="FFFFFF" w:val="clear"/>
            <w:vAlign w:val="center"/>
          </w:tcPr>
          <w:p>
            <w:pPr>
              <w:pStyle w:val="TableContents"/>
              <w:bidi w:val="0"/>
              <w:spacing w:before="0" w:after="283"/>
              <w:jc w:val="left"/>
              <w:rPr/>
            </w:pPr>
            <w:r>
              <w:rPr/>
              <w:t> </w:t>
            </w:r>
          </w:p>
        </w:tc>
      </w:tr>
      <w:tr>
        <w:trPr/>
        <w:tc>
          <w:tcPr>
            <w:tcW w:w="6527" w:type="dxa"/>
            <w:tcBorders/>
            <w:shd w:fill="CFF0FC" w:val="clear"/>
            <w:vAlign w:val="center"/>
          </w:tcPr>
          <w:p>
            <w:pPr>
              <w:pStyle w:val="TableContents"/>
              <w:bidi w:val="0"/>
              <w:spacing w:before="0" w:after="283"/>
              <w:jc w:val="left"/>
              <w:rPr>
                <w:rFonts w:ascii="Arial" w:hAnsi="Arial"/>
                <w:color w:val="000000"/>
                <w:sz w:val="22"/>
              </w:rPr>
            </w:pPr>
            <w:r>
              <w:rPr>
                <w:rFonts w:ascii="Arial" w:hAnsi="Arial"/>
                <w:color w:val="000000"/>
                <w:sz w:val="22"/>
              </w:rPr>
              <w:t>Long-term financing lease liability, net of current portion</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1030" w:type="dxa"/>
            <w:tcBorders/>
            <w:shd w:fill="CFF0FC" w:val="clear"/>
            <w:vAlign w:val="center"/>
          </w:tcPr>
          <w:p>
            <w:pPr>
              <w:pStyle w:val="TableContents"/>
              <w:bidi w:val="0"/>
              <w:spacing w:before="0" w:after="283"/>
              <w:jc w:val="right"/>
              <w:rPr>
                <w:rFonts w:ascii="Arial" w:hAnsi="Arial"/>
                <w:color w:val="000000"/>
                <w:sz w:val="22"/>
              </w:rPr>
            </w:pPr>
            <w:r>
              <w:rPr>
                <w:rFonts w:ascii="Arial" w:hAnsi="Arial"/>
                <w:color w:val="000000"/>
                <w:sz w:val="22"/>
              </w:rPr>
              <w:t>1,297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177" w:type="dxa"/>
            <w:tcBorders/>
            <w:shd w:fill="CFF0FC" w:val="clear"/>
            <w:vAlign w:val="center"/>
          </w:tcPr>
          <w:p>
            <w:pPr>
              <w:pStyle w:val="TableContents"/>
              <w:bidi w:val="0"/>
              <w:spacing w:before="0" w:after="283"/>
              <w:jc w:val="right"/>
              <w:rPr>
                <w:rFonts w:ascii="Arial" w:hAnsi="Arial"/>
                <w:color w:val="000000"/>
                <w:sz w:val="22"/>
              </w:rPr>
            </w:pPr>
            <w:r>
              <w:rPr>
                <w:rFonts w:ascii="Arial" w:hAnsi="Arial"/>
                <w:color w:val="000000"/>
                <w:sz w:val="22"/>
              </w:rPr>
              <w:t>1,428</w:t>
            </w:r>
          </w:p>
        </w:tc>
        <w:tc>
          <w:tcPr>
            <w:tcW w:w="473" w:type="dxa"/>
            <w:tcBorders/>
            <w:shd w:fill="CFF0FC" w:val="clear"/>
            <w:vAlign w:val="center"/>
          </w:tcPr>
          <w:p>
            <w:pPr>
              <w:pStyle w:val="TableContents"/>
              <w:bidi w:val="0"/>
              <w:spacing w:before="0" w:after="283"/>
              <w:jc w:val="left"/>
              <w:rPr/>
            </w:pPr>
            <w:r>
              <w:rPr/>
              <w:t> </w:t>
            </w:r>
          </w:p>
        </w:tc>
      </w:tr>
      <w:tr>
        <w:trPr/>
        <w:tc>
          <w:tcPr>
            <w:tcW w:w="6527" w:type="dxa"/>
            <w:tcBorders/>
            <w:shd w:fill="FFFFFF" w:val="clear"/>
            <w:vAlign w:val="center"/>
          </w:tcPr>
          <w:p>
            <w:pPr>
              <w:pStyle w:val="TableContents"/>
              <w:bidi w:val="0"/>
              <w:spacing w:before="0" w:after="283"/>
              <w:jc w:val="left"/>
              <w:rPr>
                <w:rFonts w:ascii="Arial" w:hAnsi="Arial"/>
                <w:color w:val="000000"/>
                <w:sz w:val="22"/>
              </w:rPr>
            </w:pPr>
            <w:r>
              <w:rPr>
                <w:rFonts w:ascii="Arial" w:hAnsi="Arial"/>
                <w:color w:val="000000"/>
                <w:sz w:val="22"/>
              </w:rPr>
              <w:t>Total stockholders’ equity</w:t>
            </w:r>
          </w:p>
        </w:tc>
        <w:tc>
          <w:tcPr>
            <w:tcW w:w="146" w:type="dxa"/>
            <w:tcBorders/>
            <w:shd w:fill="FFFFFF" w:val="cle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84,282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90,470</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527" w:type="dxa"/>
            <w:tcBorders/>
            <w:shd w:fill="CFF0FC" w:val="clear"/>
            <w:vAlign w:val="center"/>
          </w:tcPr>
          <w:p>
            <w:pPr>
              <w:pStyle w:val="TableContents"/>
              <w:bidi w:val="0"/>
              <w:spacing w:before="0" w:after="283"/>
              <w:ind w:left="280" w:right="0" w:firstLine="280"/>
              <w:jc w:val="left"/>
              <w:rPr>
                <w:rFonts w:ascii="Arial" w:hAnsi="Arial"/>
                <w:color w:val="000000"/>
                <w:sz w:val="22"/>
              </w:rPr>
            </w:pPr>
            <w:r>
              <w:rPr>
                <w:rFonts w:ascii="Arial" w:hAnsi="Arial"/>
                <w:color w:val="000000"/>
                <w:sz w:val="22"/>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113,251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120,653</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2247</Words>
  <Characters>12772</Characters>
  <CharactersWithSpaces>15057</CharactersWithSpaces>
  <Paragraphs>463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