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46990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w:t>
      </w:r>
    </w:p>
    <w:p>
      <w:pPr>
        <w:spacing w:after="0" w:line="1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1934</w:t>
      </w:r>
    </w:p>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w:t>
      </w:r>
    </w:p>
    <w:p>
      <w:pPr>
        <w:spacing w:after="0" w:line="1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22"/>
          <w:szCs w:val="22"/>
          <w:b w:val="1"/>
          <w:bCs w:val="1"/>
          <w:color w:val="auto"/>
        </w:rPr>
        <w:t>1934</w:t>
      </w:r>
    </w:p>
    <w:p>
      <w:pPr>
        <w:spacing w:after="0" w:line="5" w:lineRule="exact"/>
        <w:rPr>
          <w:sz w:val="24"/>
          <w:szCs w:val="24"/>
          <w:color w:val="auto"/>
        </w:rPr>
      </w:pPr>
    </w:p>
    <w:p>
      <w:pPr>
        <w:ind w:left="368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Commission File Number: 001-37378</w:t>
      </w:r>
    </w:p>
    <w:p>
      <w:pPr>
        <w:spacing w:after="0" w:line="1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ATYR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5"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3840" w:type="dxa"/>
            <w:vAlign w:val="bottom"/>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20" w:type="dxa"/>
            <w:vAlign w:val="bottom"/>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rPr>
              <w:t>20-3435077</w:t>
            </w:r>
          </w:p>
        </w:tc>
      </w:tr>
      <w:tr>
        <w:trPr>
          <w:trHeight w:val="151"/>
        </w:trPr>
        <w:tc>
          <w:tcPr>
            <w:tcW w:w="3840" w:type="dxa"/>
            <w:vAlign w:val="bottom"/>
          </w:tcPr>
          <w:p>
            <w:pPr>
              <w:jc w:val="center"/>
              <w:ind w:right="121"/>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120" w:type="dxa"/>
            <w:vAlign w:val="bottom"/>
          </w:tcPr>
          <w:p>
            <w:pPr>
              <w:jc w:val="center"/>
              <w:ind w:left="2879"/>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4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4120" w:type="dxa"/>
            <w:vAlign w:val="bottom"/>
          </w:tcPr>
          <w:p>
            <w:pPr>
              <w:jc w:val="center"/>
              <w:ind w:left="291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74"/>
        </w:trPr>
        <w:tc>
          <w:tcPr>
            <w:tcW w:w="384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10240 Sorrento Valley, Suite 300, San Diego, CA</w:t>
            </w:r>
          </w:p>
        </w:tc>
        <w:tc>
          <w:tcPr>
            <w:tcW w:w="412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67"/>
        </w:trPr>
        <w:tc>
          <w:tcPr>
            <w:tcW w:w="38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20" w:type="dxa"/>
            <w:vAlign w:val="bottom"/>
          </w:tcPr>
          <w:p>
            <w:pPr>
              <w:jc w:val="center"/>
              <w:ind w:left="291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38"/>
        </w:trPr>
        <w:tc>
          <w:tcPr>
            <w:tcW w:w="3840" w:type="dxa"/>
            <w:vAlign w:val="bottom"/>
          </w:tcPr>
          <w:p>
            <w:pPr>
              <w:spacing w:after="0"/>
              <w:rPr>
                <w:sz w:val="20"/>
                <w:szCs w:val="20"/>
                <w:color w:val="auto"/>
              </w:rPr>
            </w:pPr>
          </w:p>
        </w:tc>
        <w:tc>
          <w:tcPr>
            <w:tcW w:w="4120" w:type="dxa"/>
            <w:vAlign w:val="bottom"/>
          </w:tcPr>
          <w:p>
            <w:pPr>
              <w:jc w:val="right"/>
              <w:ind w:right="2759"/>
              <w:spacing w:after="0"/>
              <w:rPr>
                <w:sz w:val="20"/>
                <w:szCs w:val="20"/>
                <w:color w:val="auto"/>
              </w:rPr>
            </w:pPr>
            <w:r>
              <w:rPr>
                <w:rFonts w:ascii="Times New Roman" w:cs="Times New Roman" w:eastAsia="Times New Roman" w:hAnsi="Times New Roman"/>
                <w:sz w:val="18"/>
                <w:szCs w:val="18"/>
                <w:b w:val="1"/>
                <w:bCs w:val="1"/>
                <w:color w:val="auto"/>
              </w:rPr>
              <w:t>(858) 731-8389</w:t>
            </w:r>
          </w:p>
        </w:tc>
      </w:tr>
    </w:tbl>
    <w:p>
      <w:pPr>
        <w:spacing w:after="0" w:line="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59055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1"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520" w:type="dxa"/>
            <w:vAlign w:val="bottom"/>
          </w:tcPr>
          <w:p>
            <w:pPr>
              <w:spacing w:after="0"/>
              <w:rPr>
                <w:sz w:val="18"/>
                <w:szCs w:val="18"/>
                <w:color w:val="auto"/>
              </w:rPr>
            </w:pPr>
          </w:p>
        </w:tc>
        <w:tc>
          <w:tcPr>
            <w:tcW w:w="27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318"/>
        </w:trPr>
        <w:tc>
          <w:tcPr>
            <w:tcW w:w="37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640" w:type="dxa"/>
            <w:vAlign w:val="bottom"/>
          </w:tcPr>
          <w:p>
            <w:pPr>
              <w:spacing w:after="0"/>
              <w:rPr>
                <w:sz w:val="24"/>
                <w:szCs w:val="24"/>
                <w:color w:val="auto"/>
              </w:rPr>
            </w:pPr>
          </w:p>
        </w:tc>
        <w:tc>
          <w:tcPr>
            <w:tcW w:w="208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3"/>
              </w:rPr>
              <w:t>ATYR</w:t>
            </w:r>
          </w:p>
        </w:tc>
        <w:tc>
          <w:tcPr>
            <w:tcW w:w="6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03"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1"/>
        </w:trPr>
        <w:tc>
          <w:tcPr>
            <w:tcW w:w="2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94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1" w:lineRule="exact"/>
        <w:rPr>
          <w:sz w:val="24"/>
          <w:szCs w:val="24"/>
          <w:color w:val="auto"/>
        </w:rPr>
      </w:pPr>
    </w:p>
    <w:p>
      <w:pPr>
        <w:jc w:val="both"/>
        <w:ind w:right="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60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9, 2024, there were 75,796,198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828040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94" w:right="4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ATYR 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1078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44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7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900" w:type="dxa"/>
            <w:vAlign w:val="bottom"/>
            <w:gridSpan w:val="9"/>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(unaudited) and December 31, 2023</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2024 and 2023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and six months ended June 30, 2024 and 2023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June 30, 2024 and 2023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720" w:type="dxa"/>
            <w:vAlign w:val="bottom"/>
            <w:tcBorders>
              <w:left w:val="single" w:sz="8" w:color="0000FF"/>
            </w:tcBorders>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0" w:type="dxa"/>
            <w:vAlign w:val="bottom"/>
            <w:tcBorders>
              <w:right w:val="single" w:sz="8" w:color="0000EE"/>
            </w:tcBorders>
            <w:gridSpan w:val="2"/>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8200" w:type="dxa"/>
            <w:vAlign w:val="bottom"/>
            <w:gridSpan w:val="10"/>
          </w:tcPr>
          <w:p>
            <w:pPr>
              <w:spacing w:after="0"/>
              <w:rPr>
                <w:sz w:val="19"/>
                <w:szCs w:val="19"/>
                <w:color w:val="auto"/>
              </w:rPr>
            </w:pPr>
          </w:p>
        </w:tc>
        <w:tc>
          <w:tcPr>
            <w:tcW w:w="4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74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8300" w:type="dxa"/>
            <w:vAlign w:val="bottom"/>
            <w:gridSpan w:val="1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74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00" w:type="dxa"/>
            <w:vAlign w:val="bottom"/>
            <w:tcBorders>
              <w:right w:val="single" w:sz="8" w:color="0000EE"/>
            </w:tcBorders>
            <w:gridSpan w:val="2"/>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6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3"/>
        </w:trPr>
        <w:tc>
          <w:tcPr>
            <w:tcW w:w="1080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1445"/>
        </w:trPr>
        <w:tc>
          <w:tcPr>
            <w:tcW w:w="2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72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72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aTyr Pharma, Inc.</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772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772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80" w:type="dxa"/>
            <w:vAlign w:val="bottom"/>
          </w:tcPr>
          <w:p>
            <w:pPr>
              <w:spacing w:after="0"/>
              <w:rPr>
                <w:sz w:val="24"/>
                <w:szCs w:val="24"/>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50"/>
        </w:trPr>
        <w:tc>
          <w:tcPr>
            <w:tcW w:w="77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1"/>
        </w:trPr>
        <w:tc>
          <w:tcPr>
            <w:tcW w:w="7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75,622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10,187</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21"/>
                <w:szCs w:val="2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90,297</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102,992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lease, right-of-use assets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105,939</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0"/>
                <w:szCs w:val="20"/>
                <w:color w:val="auto"/>
              </w:rPr>
            </w:pPr>
          </w:p>
        </w:tc>
      </w:tr>
      <w:tr>
        <w:trPr>
          <w:trHeight w:val="247"/>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financing lease liability</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 net of current portion</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financing lease liability, net of current portion</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$0.001 par value per share; 5,000,000 undesignated authorized shares as of June 30,</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 (unaudited) and December 31, 2023; no shares issued or outstanding as of June 30, 2024</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(unaudited) and December 31, 2023</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per share; 170,000,000 authorized shares as of June 30, 2024</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(unaudited) and December 31, 2023; issued and outstanding shares – 75,796,198 as of June 30, 2024</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(unaudited) and 63,286,404 as of December 31, 2023</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581,520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558,692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(499,820 )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(468,023 )</w:t>
            </w:r>
          </w:p>
        </w:tc>
      </w:tr>
      <w:tr>
        <w:trPr>
          <w:trHeight w:val="232"/>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aTyr Pharma, Inc. stockholders’ equity</w:t>
            </w: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81,608</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90,658</w:t>
            </w: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 in Pangu BioPharma Limited</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(184 )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81,424</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90,470</w:t>
            </w:r>
          </w:p>
        </w:tc>
        <w:tc>
          <w:tcPr>
            <w:tcW w:w="100" w:type="dxa"/>
            <w:vAlign w:val="bottom"/>
            <w:tcBorders>
              <w:top w:val="single" w:sz="8" w:color="CFF0FC"/>
            </w:tcBorders>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105,939</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120,653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-3719830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-3702685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-2767965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-668020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-351155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aTyr Pharma,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20" w:type="dxa"/>
            <w:vAlign w:val="bottom"/>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80" w:type="dxa"/>
            <w:vAlign w:val="bottom"/>
          </w:tcPr>
          <w:p>
            <w:pPr>
              <w:spacing w:after="0"/>
              <w:rPr>
                <w:sz w:val="21"/>
                <w:szCs w:val="21"/>
                <w:color w:val="auto"/>
              </w:rPr>
            </w:pPr>
          </w:p>
        </w:tc>
        <w:tc>
          <w:tcPr>
            <w:tcW w:w="2580" w:type="dxa"/>
            <w:vAlign w:val="bottom"/>
            <w:gridSpan w:val="5"/>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41"/>
        </w:trPr>
        <w:tc>
          <w:tcPr>
            <w:tcW w:w="5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60" w:type="dxa"/>
            <w:vAlign w:val="bottom"/>
            <w:gridSpan w:val="5"/>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and collaboration agreement revenues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13,558</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(17,315 )</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(13,558 )</w:t>
            </w:r>
          </w:p>
        </w:tc>
        <w:tc>
          <w:tcPr>
            <w:tcW w:w="18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(33,951 )</w:t>
            </w:r>
          </w:p>
        </w:tc>
        <w:tc>
          <w:tcPr>
            <w:tcW w:w="2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(26,345 )</w:t>
            </w:r>
          </w:p>
        </w:tc>
        <w:tc>
          <w:tcPr>
            <w:tcW w:w="0" w:type="dxa"/>
            <w:vAlign w:val="bottom"/>
          </w:tcPr>
          <w:p>
            <w:pPr>
              <w:spacing w:after="0"/>
              <w:rPr>
                <w:sz w:val="1"/>
                <w:szCs w:val="1"/>
                <w:color w:val="auto"/>
              </w:rPr>
            </w:pPr>
          </w:p>
        </w:tc>
      </w:tr>
      <w:tr>
        <w:trPr>
          <w:trHeight w:val="263"/>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2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140" w:type="dxa"/>
            <w:vAlign w:val="bottom"/>
            <w:tcBorders>
              <w:top w:val="single" w:sz="8" w:color="CFF0FC"/>
            </w:tcBorders>
            <w:shd w:val="clear" w:color="auto" w:fill="CFF0FC"/>
          </w:tcPr>
          <w:p>
            <w:pPr>
              <w:spacing w:after="0"/>
              <w:rPr>
                <w:sz w:val="20"/>
                <w:szCs w:val="20"/>
                <w:color w:val="auto"/>
              </w:rPr>
            </w:pPr>
          </w:p>
        </w:tc>
        <w:tc>
          <w:tcPr>
            <w:tcW w:w="1220" w:type="dxa"/>
            <w:vAlign w:val="bottom"/>
            <w:tcBorders>
              <w:top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(16,306 )</w:t>
            </w:r>
          </w:p>
        </w:tc>
        <w:tc>
          <w:tcPr>
            <w:tcW w:w="1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(12,342</w:t>
            </w:r>
          </w:p>
        </w:tc>
        <w:tc>
          <w:tcPr>
            <w:tcW w:w="240" w:type="dxa"/>
            <w:vAlign w:val="bottom"/>
            <w:tcBorders>
              <w:top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(31,793</w:t>
            </w:r>
          </w:p>
        </w:tc>
        <w:tc>
          <w:tcPr>
            <w:tcW w:w="240" w:type="dxa"/>
            <w:vAlign w:val="bottom"/>
            <w:tcBorders>
              <w:top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(24,294</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1"/>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loss attributable to noncontrolling interest in Pangu</w:t>
            </w:r>
          </w:p>
        </w:tc>
        <w:tc>
          <w:tcPr>
            <w:tcW w:w="14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(4 )</w:t>
            </w:r>
          </w:p>
        </w:tc>
        <w:tc>
          <w:tcPr>
            <w:tcW w:w="2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BioPharma Limited</w:t>
            </w: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aTyr Pharma, Inc.</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(16,306 )</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(12,338 )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(31,797 )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(24,289 )</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(0.23 )</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(0.22 )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(0.46 )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loss per share, basic and diluted</w:t>
            </w:r>
          </w:p>
        </w:tc>
        <w:tc>
          <w:tcPr>
            <w:tcW w:w="140" w:type="dxa"/>
            <w:vAlign w:val="bottom"/>
            <w:tcBorders>
              <w:bottom w:val="single" w:sz="8" w:color="auto"/>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72,284,351</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55,143,805</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69,204,401</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48,557,347</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-2108200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-2108200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-2108200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-1482725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-1482725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-1482725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-1482725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-993775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-993775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-385445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-368300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-385445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-368300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-385445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-368300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-368300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-25400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t>aTyr Pharma, Inc.</w:t>
      </w:r>
    </w:p>
    <w:p>
      <w:pPr>
        <w:spacing w:after="0" w:line="1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20" w:type="dxa"/>
            <w:vAlign w:val="bottom"/>
          </w:tcPr>
          <w:p>
            <w:pPr>
              <w:spacing w:after="0"/>
              <w:rPr>
                <w:sz w:val="21"/>
                <w:szCs w:val="21"/>
                <w:color w:val="auto"/>
              </w:rPr>
            </w:pPr>
          </w:p>
        </w:tc>
        <w:tc>
          <w:tcPr>
            <w:tcW w:w="24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41"/>
        </w:trPr>
        <w:tc>
          <w:tcPr>
            <w:tcW w:w="5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(16,306 )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(12,342 )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(31,793 )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(24,294 )</w:t>
            </w:r>
          </w:p>
        </w:tc>
        <w:tc>
          <w:tcPr>
            <w:tcW w:w="0" w:type="dxa"/>
            <w:vAlign w:val="bottom"/>
          </w:tcPr>
          <w:p>
            <w:pPr>
              <w:spacing w:after="0"/>
              <w:rPr>
                <w:sz w:val="1"/>
                <w:szCs w:val="1"/>
                <w:color w:val="auto"/>
              </w:rPr>
            </w:pP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unrealized gain (loss) on available-for-sale investments, net</w:t>
            </w:r>
          </w:p>
        </w:tc>
        <w:tc>
          <w:tcPr>
            <w:tcW w:w="180" w:type="dxa"/>
            <w:vAlign w:val="bottom"/>
            <w:shd w:val="clear" w:color="auto" w:fill="CFF0FC"/>
          </w:tcPr>
          <w:p>
            <w:pPr>
              <w:spacing w:after="0"/>
              <w:rPr>
                <w:sz w:val="18"/>
                <w:szCs w:val="18"/>
                <w:color w:val="auto"/>
              </w:rPr>
            </w:pPr>
          </w:p>
        </w:tc>
        <w:tc>
          <w:tcPr>
            <w:tcW w:w="14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shd w:val="clear" w:color="auto" w:fill="CFF0FC"/>
          </w:tcPr>
          <w:p>
            <w:pPr>
              <w:spacing w:after="0"/>
              <w:rPr>
                <w:sz w:val="18"/>
                <w:szCs w:val="18"/>
                <w:color w:val="auto"/>
              </w:rPr>
            </w:pPr>
          </w:p>
        </w:tc>
        <w:tc>
          <w:tcPr>
            <w:tcW w:w="11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(85 )</w:t>
            </w:r>
          </w:p>
        </w:tc>
        <w:tc>
          <w:tcPr>
            <w:tcW w:w="22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(94 )</w:t>
            </w:r>
          </w:p>
        </w:tc>
        <w:tc>
          <w:tcPr>
            <w:tcW w:w="26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 tax</w:t>
            </w:r>
          </w:p>
        </w:tc>
        <w:tc>
          <w:tcPr>
            <w:tcW w:w="180" w:type="dxa"/>
            <w:vAlign w:val="bottom"/>
            <w:shd w:val="clear" w:color="auto" w:fill="CFF0FC"/>
          </w:tcPr>
          <w:p>
            <w:pPr>
              <w:spacing w:after="0"/>
              <w:rPr>
                <w:sz w:val="20"/>
                <w:szCs w:val="20"/>
                <w:color w:val="auto"/>
              </w:rPr>
            </w:pPr>
          </w:p>
        </w:tc>
        <w:tc>
          <w:tcPr>
            <w:tcW w:w="148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4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(16,316 )</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(12,427 )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(31,887 )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(24,194 )</w:t>
            </w:r>
          </w:p>
        </w:tc>
        <w:tc>
          <w:tcPr>
            <w:tcW w:w="0" w:type="dxa"/>
            <w:vAlign w:val="bottom"/>
          </w:tcPr>
          <w:p>
            <w:pPr>
              <w:spacing w:after="0"/>
              <w:rPr>
                <w:sz w:val="1"/>
                <w:szCs w:val="1"/>
                <w:color w:val="auto"/>
              </w:rPr>
            </w:pPr>
          </w:p>
        </w:tc>
      </w:tr>
      <w:tr>
        <w:trPr>
          <w:trHeight w:val="215"/>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(gain) loss attributable to noncontrolling interest in</w:t>
            </w:r>
          </w:p>
        </w:tc>
        <w:tc>
          <w:tcPr>
            <w:tcW w:w="180" w:type="dxa"/>
            <w:vAlign w:val="bottom"/>
            <w:shd w:val="clear" w:color="auto" w:fill="CFF0FC"/>
          </w:tcPr>
          <w:p>
            <w:pPr>
              <w:spacing w:after="0"/>
              <w:rPr>
                <w:sz w:val="18"/>
                <w:szCs w:val="18"/>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(4 )</w:t>
            </w:r>
          </w:p>
        </w:tc>
        <w:tc>
          <w:tcPr>
            <w:tcW w:w="26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Pangu BioPharma Limited</w:t>
            </w:r>
          </w:p>
        </w:tc>
        <w:tc>
          <w:tcPr>
            <w:tcW w:w="180" w:type="dxa"/>
            <w:vAlign w:val="bottom"/>
            <w:shd w:val="clear" w:color="auto" w:fill="CFF0FC"/>
          </w:tcPr>
          <w:p>
            <w:pPr>
              <w:spacing w:after="0"/>
              <w:rPr>
                <w:sz w:val="20"/>
                <w:szCs w:val="20"/>
                <w:color w:val="auto"/>
              </w:rPr>
            </w:pPr>
          </w:p>
        </w:tc>
        <w:tc>
          <w:tcPr>
            <w:tcW w:w="1220" w:type="dxa"/>
            <w:vAlign w:val="bottom"/>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5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Comprehensive loss attributable to aTyr Pharma, Inc. common</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(16,316 )</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(12,423 )</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(31,891 )</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(24,189 )</w:t>
            </w:r>
          </w:p>
        </w:tc>
        <w:tc>
          <w:tcPr>
            <w:tcW w:w="0" w:type="dxa"/>
            <w:vAlign w:val="bottom"/>
          </w:tcPr>
          <w:p>
            <w:pPr>
              <w:spacing w:after="0"/>
              <w:rPr>
                <w:sz w:val="1"/>
                <w:szCs w:val="1"/>
                <w:color w:val="auto"/>
              </w:rPr>
            </w:pPr>
          </w:p>
        </w:tc>
      </w:tr>
      <w:tr>
        <w:trPr>
          <w:trHeight w:val="207"/>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80" w:type="dxa"/>
            <w:vAlign w:val="bottom"/>
            <w:vMerge w:val="continue"/>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-745490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-745490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-745490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-299720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-299720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-299720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aTyr Pharma,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40" w:type="dxa"/>
            <w:vAlign w:val="bottom"/>
            <w:gridSpan w:val="1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2024 (unaudited)</w:t>
            </w: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4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68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ed</w:t>
            </w:r>
          </w:p>
        </w:tc>
        <w:tc>
          <w:tcPr>
            <w:tcW w:w="1260" w:type="dxa"/>
            <w:vAlign w:val="bottom"/>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63,286,40</w:t>
            </w:r>
          </w:p>
        </w:tc>
        <w:tc>
          <w:tcPr>
            <w:tcW w:w="480" w:type="dxa"/>
            <w:vAlign w:val="bottom"/>
            <w:gridSpan w:val="2"/>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558,692</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(74 ) $</w:t>
            </w:r>
          </w:p>
        </w:tc>
        <w:tc>
          <w:tcPr>
            <w:tcW w:w="90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(468,023 ) $</w:t>
            </w:r>
          </w:p>
        </w:tc>
        <w:tc>
          <w:tcPr>
            <w:tcW w:w="108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(188 )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90,470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40" w:type="dxa"/>
            <w:vAlign w:val="bottom"/>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22,111</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from at-the-market offerings, net of offering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5,045,518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8,638</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unrealized loss on investments, net of tax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(84 )</w:t>
            </w: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(84 )</w:t>
            </w:r>
          </w:p>
        </w:tc>
        <w:tc>
          <w:tcPr>
            <w:tcW w:w="0" w:type="dxa"/>
            <w:vAlign w:val="bottom"/>
          </w:tcPr>
          <w:p>
            <w:pPr>
              <w:spacing w:after="0"/>
              <w:rPr>
                <w:sz w:val="1"/>
                <w:szCs w:val="1"/>
                <w:color w:val="auto"/>
              </w:rPr>
            </w:pPr>
          </w:p>
        </w:tc>
      </w:tr>
      <w:tr>
        <w:trPr>
          <w:trHeight w:val="175"/>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gain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(15,491 )</w:t>
            </w: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(15,487 )</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Balance as of March 31, 2024</w:t>
            </w: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68,354,03</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568,070</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(158 )</w:t>
            </w:r>
          </w:p>
        </w:tc>
        <w:tc>
          <w:tcPr>
            <w:tcW w:w="140" w:type="dxa"/>
            <w:vAlign w:val="bottom"/>
          </w:tcPr>
          <w:p>
            <w:pPr>
              <w:spacing w:after="0"/>
              <w:rPr>
                <w:sz w:val="11"/>
                <w:szCs w:val="11"/>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(483,514 )</w:t>
            </w:r>
          </w:p>
        </w:tc>
        <w:tc>
          <w:tcPr>
            <w:tcW w:w="180" w:type="dxa"/>
            <w:vAlign w:val="bottom"/>
          </w:tcPr>
          <w:p>
            <w:pPr>
              <w:spacing w:after="0"/>
              <w:rPr>
                <w:sz w:val="11"/>
                <w:szCs w:val="11"/>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(184 )</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84,282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40" w:type="dxa"/>
            <w:vAlign w:val="bottom"/>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stock pursuant to employee stock purchase plan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39,364</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from at-the-market offerings, net of offering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7,402,801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12,684</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unrealized loss on investments, net of tax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(10 )</w:t>
            </w:r>
          </w:p>
        </w:tc>
        <w:tc>
          <w:tcPr>
            <w:tcW w:w="0" w:type="dxa"/>
            <w:vAlign w:val="bottom"/>
          </w:tcPr>
          <w:p>
            <w:pPr>
              <w:spacing w:after="0"/>
              <w:rPr>
                <w:sz w:val="1"/>
                <w:szCs w:val="1"/>
                <w:color w:val="auto"/>
              </w:rPr>
            </w:pPr>
          </w:p>
        </w:tc>
      </w:tr>
      <w:tr>
        <w:trPr>
          <w:trHeight w:val="175"/>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(16,306 )</w:t>
            </w:r>
          </w:p>
        </w:tc>
        <w:tc>
          <w:tcPr>
            <w:tcW w:w="18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(16,306 )</w:t>
            </w:r>
          </w:p>
        </w:tc>
        <w:tc>
          <w:tcPr>
            <w:tcW w:w="0" w:type="dxa"/>
            <w:vAlign w:val="bottom"/>
          </w:tcPr>
          <w:p>
            <w:pPr>
              <w:spacing w:after="0"/>
              <w:rPr>
                <w:sz w:val="1"/>
                <w:szCs w:val="1"/>
                <w:color w:val="auto"/>
              </w:rPr>
            </w:pPr>
          </w:p>
        </w:tc>
      </w:tr>
      <w:tr>
        <w:trPr>
          <w:trHeight w:val="133"/>
        </w:trPr>
        <w:tc>
          <w:tcPr>
            <w:tcW w:w="4840" w:type="dxa"/>
            <w:vAlign w:val="bottom"/>
            <w:tcBorders>
              <w:top w:val="single" w:sz="8" w:color="CFF0FC"/>
            </w:tcBorders>
          </w:tcPr>
          <w:p>
            <w:pPr>
              <w:spacing w:after="0"/>
              <w:rPr>
                <w:sz w:val="11"/>
                <w:szCs w:val="11"/>
                <w:color w:val="auto"/>
              </w:rPr>
            </w:pPr>
          </w:p>
        </w:tc>
        <w:tc>
          <w:tcPr>
            <w:tcW w:w="7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4"/>
                <w:szCs w:val="14"/>
                <w:color w:val="auto"/>
              </w:rPr>
              <w:t>75,796,19</w:t>
            </w:r>
          </w:p>
        </w:tc>
        <w:tc>
          <w:tcPr>
            <w:tcW w:w="120" w:type="dxa"/>
            <w:vAlign w:val="bottom"/>
            <w:tcBorders>
              <w:top w:val="single" w:sz="8" w:color="CFF0FC"/>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June 30,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581,520</w:t>
            </w:r>
          </w:p>
        </w:tc>
        <w:tc>
          <w:tcPr>
            <w:tcW w:w="120" w:type="dxa"/>
            <w:vAlign w:val="bottom"/>
          </w:tcPr>
          <w:p>
            <w:pPr>
              <w:spacing w:after="0"/>
              <w:rPr>
                <w:sz w:val="16"/>
                <w:szCs w:val="16"/>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(168 ) $</w:t>
            </w:r>
          </w:p>
        </w:tc>
        <w:tc>
          <w:tcPr>
            <w:tcW w:w="9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(499,820 ) $</w:t>
            </w:r>
          </w:p>
        </w:tc>
        <w:tc>
          <w:tcPr>
            <w:tcW w:w="108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(184 ) $</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4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40" w:type="dxa"/>
            <w:vAlign w:val="bottom"/>
            <w:gridSpan w:val="15"/>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Three and Six Months Ended June 30, 2023 (unaudited)</w:t>
            </w: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4"/>
        </w:trPr>
        <w:tc>
          <w:tcPr>
            <w:tcW w:w="4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68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126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ed</w:t>
            </w:r>
          </w:p>
        </w:tc>
        <w:tc>
          <w:tcPr>
            <w:tcW w:w="1260" w:type="dxa"/>
            <w:vAlign w:val="bottom"/>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8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7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29,498,48</w:t>
            </w:r>
          </w:p>
        </w:tc>
        <w:tc>
          <w:tcPr>
            <w:tcW w:w="480" w:type="dxa"/>
            <w:vAlign w:val="bottom"/>
            <w:gridSpan w:val="2"/>
            <w:vMerge w:val="restart"/>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489,502</w:t>
            </w:r>
          </w:p>
        </w:tc>
        <w:tc>
          <w:tcPr>
            <w:tcW w:w="8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(433 ) $</w:t>
            </w:r>
          </w:p>
        </w:tc>
        <w:tc>
          <w:tcPr>
            <w:tcW w:w="900" w:type="dxa"/>
            <w:vAlign w:val="bottom"/>
            <w:gridSpan w:val="3"/>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(417,634 ) $</w:t>
            </w:r>
          </w:p>
        </w:tc>
        <w:tc>
          <w:tcPr>
            <w:tcW w:w="1080" w:type="dxa"/>
            <w:vAlign w:val="bottom"/>
            <w:gridSpan w:val="3"/>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(180 ) $</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71,284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40" w:type="dxa"/>
            <w:vAlign w:val="bottom"/>
            <w:vMerge w:val="continue"/>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80" w:type="dxa"/>
            <w:vAlign w:val="bottom"/>
            <w:gridSpan w:val="2"/>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800" w:type="dxa"/>
            <w:vAlign w:val="bottom"/>
            <w:gridSpan w:val="2"/>
            <w:vMerge w:val="continue"/>
            <w:shd w:val="clear" w:color="auto" w:fill="CFF0FC"/>
          </w:tcPr>
          <w:p>
            <w:pPr>
              <w:spacing w:after="0"/>
              <w:rPr>
                <w:sz w:val="16"/>
                <w:szCs w:val="16"/>
                <w:color w:val="auto"/>
              </w:rPr>
            </w:pPr>
          </w:p>
        </w:tc>
        <w:tc>
          <w:tcPr>
            <w:tcW w:w="540" w:type="dxa"/>
            <w:vAlign w:val="bottom"/>
            <w:gridSpan w:val="3"/>
            <w:vMerge w:val="continue"/>
            <w:shd w:val="clear" w:color="auto" w:fill="CFF0FC"/>
          </w:tcPr>
          <w:p>
            <w:pPr>
              <w:spacing w:after="0"/>
              <w:rPr>
                <w:sz w:val="16"/>
                <w:szCs w:val="16"/>
                <w:color w:val="auto"/>
              </w:rPr>
            </w:pPr>
          </w:p>
        </w:tc>
        <w:tc>
          <w:tcPr>
            <w:tcW w:w="900" w:type="dxa"/>
            <w:vAlign w:val="bottom"/>
            <w:gridSpan w:val="3"/>
            <w:vMerge w:val="continue"/>
            <w:shd w:val="clear" w:color="auto" w:fill="CFF0FC"/>
          </w:tcPr>
          <w:p>
            <w:pPr>
              <w:spacing w:after="0"/>
              <w:rPr>
                <w:sz w:val="16"/>
                <w:szCs w:val="16"/>
                <w:color w:val="auto"/>
              </w:rPr>
            </w:pPr>
          </w:p>
        </w:tc>
        <w:tc>
          <w:tcPr>
            <w:tcW w:w="1080" w:type="dxa"/>
            <w:vAlign w:val="bottom"/>
            <w:gridSpan w:val="3"/>
            <w:vMerge w:val="continue"/>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stock from at-the-market offerings, net of offering costs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694,012</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84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Issuance of common stock from underwritten follow-on public offering, net of</w:t>
            </w:r>
          </w:p>
        </w:tc>
        <w:tc>
          <w:tcPr>
            <w:tcW w:w="78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23,125,00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48,050</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gridSpan w:val="3"/>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8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48,073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offering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gridSpan w:val="3"/>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unrealized gain on investments, net of tax</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(11,951 )</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(11,952 )</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Balance as of March 31, 2023</w:t>
            </w:r>
          </w:p>
        </w:tc>
        <w:tc>
          <w:tcPr>
            <w:tcW w:w="780" w:type="dxa"/>
            <w:vAlign w:val="bottom"/>
          </w:tcPr>
          <w:p>
            <w:pPr>
              <w:ind w:left="200"/>
              <w:spacing w:after="0" w:line="133" w:lineRule="exact"/>
              <w:rPr>
                <w:sz w:val="20"/>
                <w:szCs w:val="20"/>
                <w:color w:val="auto"/>
              </w:rPr>
            </w:pPr>
            <w:r>
              <w:rPr>
                <w:rFonts w:ascii="Times New Roman" w:cs="Times New Roman" w:eastAsia="Times New Roman" w:hAnsi="Times New Roman"/>
                <w:sz w:val="14"/>
                <w:szCs w:val="14"/>
                <w:color w:val="auto"/>
                <w:w w:val="99"/>
              </w:rPr>
              <w:t>53,339,61</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539,659</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(248 )</w:t>
            </w:r>
          </w:p>
        </w:tc>
        <w:tc>
          <w:tcPr>
            <w:tcW w:w="140" w:type="dxa"/>
            <w:vAlign w:val="bottom"/>
          </w:tcPr>
          <w:p>
            <w:pPr>
              <w:spacing w:after="0"/>
              <w:rPr>
                <w:sz w:val="11"/>
                <w:szCs w:val="11"/>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(429,585 )</w:t>
            </w:r>
          </w:p>
        </w:tc>
        <w:tc>
          <w:tcPr>
            <w:tcW w:w="180" w:type="dxa"/>
            <w:vAlign w:val="bottom"/>
          </w:tcPr>
          <w:p>
            <w:pPr>
              <w:spacing w:after="0"/>
              <w:rPr>
                <w:sz w:val="11"/>
                <w:szCs w:val="11"/>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(181 )</w:t>
            </w:r>
          </w:p>
        </w:tc>
        <w:tc>
          <w:tcPr>
            <w:tcW w:w="16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109,698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40" w:type="dxa"/>
            <w:vAlign w:val="bottom"/>
            <w:vMerge w:val="continue"/>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stock pursuant to employee stock purchase plan</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32,363</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 upon release of restricted 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 of common stock from at-the-market offerings, net of offering costs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3,638,198</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8,054</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54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8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unrealized loss on investments, net of tax</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(85 )</w:t>
            </w:r>
          </w:p>
        </w:tc>
        <w:tc>
          <w:tcPr>
            <w:tcW w:w="14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175"/>
        </w:trPr>
        <w:tc>
          <w:tcPr>
            <w:tcW w:w="4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(12,338 )</w:t>
            </w:r>
          </w:p>
        </w:tc>
        <w:tc>
          <w:tcPr>
            <w:tcW w:w="18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(4 )</w:t>
            </w:r>
          </w:p>
        </w:tc>
        <w:tc>
          <w:tcPr>
            <w:tcW w:w="160" w:type="dxa"/>
            <w:vAlign w:val="bottom"/>
          </w:tcPr>
          <w:p>
            <w:pPr>
              <w:spacing w:after="0"/>
              <w:rPr>
                <w:sz w:val="15"/>
                <w:szCs w:val="15"/>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(12,342 )</w:t>
            </w:r>
          </w:p>
        </w:tc>
        <w:tc>
          <w:tcPr>
            <w:tcW w:w="0" w:type="dxa"/>
            <w:vAlign w:val="bottom"/>
          </w:tcPr>
          <w:p>
            <w:pPr>
              <w:spacing w:after="0"/>
              <w:rPr>
                <w:sz w:val="1"/>
                <w:szCs w:val="1"/>
                <w:color w:val="auto"/>
              </w:rPr>
            </w:pPr>
          </w:p>
        </w:tc>
      </w:tr>
      <w:tr>
        <w:trPr>
          <w:trHeight w:val="133"/>
        </w:trPr>
        <w:tc>
          <w:tcPr>
            <w:tcW w:w="484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57,046,17</w:t>
            </w:r>
          </w:p>
        </w:tc>
        <w:tc>
          <w:tcPr>
            <w:tcW w:w="120" w:type="dxa"/>
            <w:vAlign w:val="bottom"/>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as of June 30, 2023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548,436</w:t>
            </w: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(333 ) $</w:t>
            </w:r>
          </w:p>
        </w:tc>
        <w:tc>
          <w:tcPr>
            <w:tcW w:w="90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(441,923 ) $</w:t>
            </w:r>
          </w:p>
        </w:tc>
        <w:tc>
          <w:tcPr>
            <w:tcW w:w="108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(185 ) $</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106,052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-3779520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-3779520</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-3779520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-3779520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-3779520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-3779520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-3007995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-3007995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-3007995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-3007995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-3007995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-3007995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-1122045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-1122045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-1122045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-1122045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-1122045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-1122045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77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4920"/>
        <w:spacing w:after="0"/>
        <w:rPr>
          <w:sz w:val="20"/>
          <w:szCs w:val="20"/>
          <w:color w:val="auto"/>
        </w:rPr>
      </w:pPr>
      <w:r>
        <w:rPr>
          <w:rFonts w:ascii="Times New Roman" w:cs="Times New Roman" w:eastAsia="Times New Roman" w:hAnsi="Times New Roman"/>
          <w:sz w:val="18"/>
          <w:szCs w:val="18"/>
          <w:b w:val="1"/>
          <w:bCs w:val="1"/>
          <w:color w:val="auto"/>
        </w:rPr>
        <w:t>aTyr Pharma, Inc.</w:t>
      </w:r>
    </w:p>
    <w:p>
      <w:pPr>
        <w:spacing w:after="0" w:line="1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00" w:type="dxa"/>
            <w:vAlign w:val="bottom"/>
          </w:tcPr>
          <w:p>
            <w:pPr>
              <w:spacing w:after="0"/>
              <w:rPr>
                <w:sz w:val="21"/>
                <w:szCs w:val="21"/>
                <w:color w:val="auto"/>
              </w:rPr>
            </w:pPr>
          </w:p>
        </w:tc>
        <w:tc>
          <w:tcPr>
            <w:tcW w:w="3340" w:type="dxa"/>
            <w:vAlign w:val="bottom"/>
            <w:gridSpan w:val="6"/>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8"/>
        </w:trPr>
        <w:tc>
          <w:tcPr>
            <w:tcW w:w="7900" w:type="dxa"/>
            <w:vAlign w:val="bottom"/>
          </w:tcPr>
          <w:p>
            <w:pPr>
              <w:spacing w:after="0"/>
              <w:rPr>
                <w:sz w:val="20"/>
                <w:szCs w:val="20"/>
                <w:color w:val="auto"/>
              </w:rPr>
            </w:pPr>
          </w:p>
        </w:tc>
        <w:tc>
          <w:tcPr>
            <w:tcW w:w="9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5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3"/>
              </w:rPr>
              <w:t>(31,793 )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(24,294 )</w:t>
            </w: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Accretion of available-for-sale investment securities</w:t>
            </w:r>
          </w:p>
        </w:tc>
        <w:tc>
          <w:tcPr>
            <w:tcW w:w="9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(1,546 )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(1,301 )</w:t>
            </w: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9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39"/>
        </w:trPr>
        <w:tc>
          <w:tcPr>
            <w:tcW w:w="7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receivables</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(7,796 )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(1,492 )</w:t>
            </w:r>
          </w:p>
        </w:tc>
      </w:tr>
      <w:tr>
        <w:trPr>
          <w:trHeight w:val="247"/>
        </w:trPr>
        <w:tc>
          <w:tcPr>
            <w:tcW w:w="7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(4,407 )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(1,019 )</w:t>
            </w:r>
          </w:p>
        </w:tc>
      </w:tr>
      <w:tr>
        <w:trPr>
          <w:trHeight w:val="243"/>
        </w:trPr>
        <w:tc>
          <w:tcPr>
            <w:tcW w:w="7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(417 )</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tcPr>
          <w:p>
            <w:pPr>
              <w:spacing w:after="0"/>
              <w:rPr>
                <w:sz w:val="21"/>
                <w:szCs w:val="21"/>
                <w:color w:val="auto"/>
              </w:rPr>
            </w:pPr>
          </w:p>
        </w:tc>
      </w:tr>
      <w:tr>
        <w:trPr>
          <w:trHeight w:val="20"/>
        </w:trPr>
        <w:tc>
          <w:tcPr>
            <w:tcW w:w="79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3"/>
              </w:rPr>
              <w:t>(42,829 )</w:t>
            </w: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(12,600 )</w:t>
            </w:r>
          </w:p>
        </w:tc>
      </w:tr>
      <w:tr>
        <w:trPr>
          <w:trHeight w:val="241"/>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(25 )</w:t>
            </w:r>
          </w:p>
        </w:tc>
        <w:tc>
          <w:tcPr>
            <w:tcW w:w="3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(3,641 )</w:t>
            </w: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available-for-sale investment securities</w:t>
            </w:r>
          </w:p>
        </w:tc>
        <w:tc>
          <w:tcPr>
            <w:tcW w:w="9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(40,127 )</w:t>
            </w: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(68,702 )</w:t>
            </w:r>
          </w:p>
        </w:tc>
      </w:tr>
      <w:tr>
        <w:trPr>
          <w:trHeight w:val="247"/>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 of available-for-sale investment securities</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45,524</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FF0FC"/>
          </w:tcPr>
          <w:p>
            <w:pPr>
              <w:spacing w:after="0"/>
              <w:rPr>
                <w:sz w:val="21"/>
                <w:szCs w:val="2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r>
      <w:tr>
        <w:trPr>
          <w:trHeight w:val="236"/>
        </w:trPr>
        <w:tc>
          <w:tcPr>
            <w:tcW w:w="7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provided by (used in) by investing activities</w:t>
            </w:r>
          </w:p>
        </w:tc>
        <w:tc>
          <w:tcPr>
            <w:tcW w:w="9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(42,328 )</w:t>
            </w:r>
          </w:p>
        </w:tc>
      </w:tr>
      <w:tr>
        <w:trPr>
          <w:trHeight w:val="241"/>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through employee stock purchase plan</w:t>
            </w:r>
          </w:p>
        </w:tc>
        <w:tc>
          <w:tcPr>
            <w:tcW w:w="92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21"/>
                <w:szCs w:val="21"/>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from at-the-market offerings, net of offering costs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21,335</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tcPr>
          <w:p>
            <w:pPr>
              <w:spacing w:after="0"/>
              <w:rPr>
                <w:sz w:val="20"/>
                <w:szCs w:val="20"/>
                <w:color w:val="auto"/>
              </w:rPr>
            </w:pPr>
          </w:p>
        </w:tc>
      </w:tr>
      <w:tr>
        <w:trPr>
          <w:trHeight w:val="215"/>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from underwritten follow-on public offering, net of</w:t>
            </w: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offering costs</w:t>
            </w:r>
          </w:p>
        </w:tc>
        <w:tc>
          <w:tcPr>
            <w:tcW w:w="92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48,073</w:t>
            </w:r>
          </w:p>
        </w:tc>
        <w:tc>
          <w:tcPr>
            <w:tcW w:w="100" w:type="dxa"/>
            <w:vAlign w:val="bottom"/>
            <w:shd w:val="clear" w:color="auto" w:fill="CFF0FC"/>
          </w:tcPr>
          <w:p>
            <w:pPr>
              <w:spacing w:after="0"/>
              <w:rPr>
                <w:sz w:val="21"/>
                <w:szCs w:val="21"/>
                <w:color w:val="auto"/>
              </w:rPr>
            </w:pPr>
          </w:p>
        </w:tc>
      </w:tr>
      <w:tr>
        <w:trPr>
          <w:trHeight w:val="243"/>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paid on finance lease liabilities</w:t>
            </w:r>
          </w:p>
        </w:tc>
        <w:tc>
          <w:tcPr>
            <w:tcW w:w="92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(244 )</w:t>
            </w:r>
          </w:p>
        </w:tc>
        <w:tc>
          <w:tcPr>
            <w:tcW w:w="3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(171 )</w:t>
            </w:r>
          </w:p>
        </w:tc>
      </w:tr>
      <w:tr>
        <w:trPr>
          <w:trHeight w:val="236"/>
        </w:trPr>
        <w:tc>
          <w:tcPr>
            <w:tcW w:w="7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21,130</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(16,327 )</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tcPr>
          <w:p>
            <w:pPr>
              <w:spacing w:after="0"/>
              <w:rPr>
                <w:sz w:val="20"/>
                <w:szCs w:val="20"/>
                <w:color w:val="auto"/>
              </w:rPr>
            </w:pPr>
          </w:p>
        </w:tc>
      </w:tr>
      <w:tr>
        <w:trPr>
          <w:trHeight w:val="247"/>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26,028</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00" w:type="dxa"/>
            <w:vAlign w:val="bottom"/>
          </w:tcPr>
          <w:p>
            <w:pPr>
              <w:spacing w:after="0"/>
              <w:rPr>
                <w:sz w:val="20"/>
                <w:szCs w:val="20"/>
                <w:color w:val="auto"/>
              </w:rPr>
            </w:pPr>
          </w:p>
        </w:tc>
      </w:tr>
      <w:tr>
        <w:trPr>
          <w:trHeight w:val="20"/>
        </w:trPr>
        <w:tc>
          <w:tcPr>
            <w:tcW w:w="7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9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100" w:type="dxa"/>
            <w:vAlign w:val="bottom"/>
          </w:tcPr>
          <w:p>
            <w:pPr>
              <w:spacing w:after="0"/>
              <w:rPr>
                <w:sz w:val="20"/>
                <w:szCs w:val="20"/>
                <w:color w:val="auto"/>
              </w:rPr>
            </w:pPr>
          </w:p>
        </w:tc>
      </w:tr>
      <w:tr>
        <w:trPr>
          <w:trHeight w:val="247"/>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at the end of period</w:t>
            </w:r>
          </w:p>
        </w:tc>
        <w:tc>
          <w:tcPr>
            <w:tcW w:w="9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9,701</w:t>
            </w:r>
          </w:p>
        </w:tc>
        <w:tc>
          <w:tcPr>
            <w:tcW w:w="26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15,732</w:t>
            </w:r>
          </w:p>
        </w:tc>
        <w:tc>
          <w:tcPr>
            <w:tcW w:w="100" w:type="dxa"/>
            <w:vAlign w:val="bottom"/>
          </w:tcPr>
          <w:p>
            <w:pPr>
              <w:spacing w:after="0"/>
              <w:rPr>
                <w:sz w:val="20"/>
                <w:szCs w:val="20"/>
                <w:color w:val="auto"/>
              </w:rPr>
            </w:pPr>
          </w:p>
        </w:tc>
      </w:tr>
      <w:tr>
        <w:trPr>
          <w:trHeight w:val="20"/>
        </w:trPr>
        <w:tc>
          <w:tcPr>
            <w:tcW w:w="7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9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5"/>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w:t>
            </w: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-2005330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-2005330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-1687830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-1036320</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-385445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-367665</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ind w:left="4920"/>
        <w:spacing w:after="0"/>
        <w:rPr>
          <w:sz w:val="20"/>
          <w:szCs w:val="20"/>
          <w:color w:val="auto"/>
        </w:rPr>
      </w:pPr>
      <w:r>
        <w:rPr>
          <w:rFonts w:ascii="Times New Roman" w:cs="Times New Roman" w:eastAsia="Times New Roman" w:hAnsi="Times New Roman"/>
          <w:sz w:val="18"/>
          <w:szCs w:val="18"/>
          <w:b w:val="1"/>
          <w:bCs w:val="1"/>
          <w:color w:val="auto"/>
        </w:rPr>
        <w:t>aTyr Pharma,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right="3820" w:firstLine="8"/>
        <w:spacing w:after="0" w:line="377"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Basis of Presentation and Summary of Significant Accounting Policies Organization and Business</w:t>
      </w:r>
    </w:p>
    <w:p>
      <w:pPr>
        <w:spacing w:after="0" w:line="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were incorporated in the state of Delaware on September 8, 2005. We are a clinical stage biotechnology company leveraging evolutionary intelligence to translate tRNA synthetase biology into new therapies for fibrosis and inflammation. tRNA synthetases are ancient, essential proteins that have evolved novel domains that regulate diverse pathways extracellularly in humans. Our discovery platform is focused on unlocking hidden therapeutic intervention points by uncovering signaling pathways driven by our proprietary library of domains derived from all 20 tRNA synthetases.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unaudited interim condensed consolidated financial statements include our accounts and our 98% majority-owned subsidiary in Hong Kong, Pangu BioPharma Limited (Pangu BioPharma). All intercompany transactions and balances are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21"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United States generally accepted accounting principles (U.S. GAAP) and follow the requirements of the U.S. Securities and Exchange Commission (SEC) for interim reporting. As permitted under those rules, certain footnotes or other financial information that are normally required by U.S. GAAP can be condensed or omitted. In our opinion, the unaudited interim condensed consolidated financial statements have been prepared on the same basis as the audited consolidated financial statements and include all adjustments, which include only normal recurring adjustments, necessary for the fair presentation of our financial position and our results of operations and cash flows for periods presented. These statements do not include all disclosures required by U.S. GAAP and should be read in conjunction with our financial statements and accompanying notes for the fiscal year ended December 31, 2023, contained in our Annual Report on Form 10-K filed with the SEC on March 14, 2024. The results of the interim periods are not necessarily indicative of the results expected for the full fiscal year or any other interim period or any future year or period.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global geopolitical tension, armed conflicts, potential future health pandemics, labor shortages, inflation and monetary supply shifts, liquidity concerns at, and failures of, banks and other financial institutions or other disruptions in the banking system or financing markets, higher interest rates and financial and credit market fluctuations, volatility in the capital markets and recession risks, which has resulted in further volatility in the U.S. and global financial markets and which has led to and may continue to lead to, additional disruptions to trade, commerce, pricing stability, credit availability and supply chain continuity globally. The ultimate long-term impact of these evolving geopolitical and macroeconomic conditions on our business is uncertain, although we continue to actively monitor the impact of these factors on our results of operations, financial condition and cash flows. The extent of the impact of these factors on our operational and financial performance, including our 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121"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We have incurred net losses and negative cash flows from operations since our inception in 2005, including a consolidated net loss of $16.3 million and $31.8 million for the three and six months ended June 30, 2024. As of June 30, 2024, we had an accumulated deficit of $499.8 million. We believe that our existing cash, cash equivalents, restricted cash and available-for-sale investments of $81.4 million as of June 30, 2024 will be sufficient to meet our material cash requirements from known contractual and other obligations for a period of at least one year from the filing date of this Quarterly Report on Form 10-Q.</w:t>
      </w:r>
    </w:p>
    <w:p>
      <w:pPr>
        <w:spacing w:after="0" w:line="183"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We do not expect to generate any revenues from product sales unless and until we successfully complete development and obtain regulatory approval for one or more of our product candidates, which we expect will take a number of years at a minimum. If we obtain regulatory approval for any of our product candidates, we expect to incur significant commercialization expenses related to product sales, marketing, manufacturing and distribution. Accordingly, we will need to raise substantial additional capital to fund our operations. The amount and timing of our future funding requirements will depend on many factors, including the pace and results of our preclinical and clinical development efforts and the timing and nature of the regulatory approval process for our product candidates. We anticipate that we will seek to fund our operations through equity offerings, grant funding, collaborations, strategic partnerships and/or licensing</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arrangements, and when we are closer to commercialization of our product candidates potentially through debt financings. However, we may be unable to raise additional capital or enter into such arrangements when needed on favorable terms or at all. Our failure to raise capital or enter into such arrangements when needed would have a negative impact on our financial condition and ability to develop our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restricted cash was approximately $2.9 million, which was held as a security deposit in conjunction with our facility lease and financing leases as discussed further in Note 4 -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Retention Credit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(CARES Act) was signed into law providing numerous tax incentives and other stimulus measures, including an employee retention credit (ERC), which is a refundable tax credit against certain employment taxes. The Taxpayer Certainty and Disaster Tax Relief Act of 2020 and the American Rescue Plan Act of 2021 extended and expanded the availability of the ERC.</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result of the foregoing legislation, we determined that we were eligible to claim an ERC benefit on qualified wages that we paid to our employees between March 2020 and September 2021. Our credit was primarily derived from qualified wages during January 2021 through September 2021 based on gross receipts for each calendar quarter in 2021 compared to the corresponding calendar quarter in 2019. We determined that we had met the requirement for a decline in gross receipts.</w:t>
      </w:r>
    </w:p>
    <w:p>
      <w:pPr>
        <w:spacing w:after="0" w:line="17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Accounting Standards Codification (ASC) Topic 105, </w:t>
      </w:r>
      <w:r>
        <w:rPr>
          <w:rFonts w:ascii="Times New Roman" w:cs="Times New Roman" w:eastAsia="Times New Roman" w:hAnsi="Times New Roman"/>
          <w:sz w:val="18"/>
          <w:szCs w:val="18"/>
          <w:i w:val="1"/>
          <w:iCs w:val="1"/>
          <w:color w:val="auto"/>
        </w:rPr>
        <w:t>Generally Accepted Accounting Principles</w:t>
      </w:r>
      <w:r>
        <w:rPr>
          <w:rFonts w:ascii="Times New Roman" w:cs="Times New Roman" w:eastAsia="Times New Roman" w:hAnsi="Times New Roman"/>
          <w:sz w:val="18"/>
          <w:szCs w:val="18"/>
          <w:color w:val="auto"/>
        </w:rPr>
        <w:t xml:space="preserve"> describes the decision-making framework when no guidance exists in U.S. GAAP for a particular transaction. Specifically, ASC 105-10-05-2 instructs companies to look for guidance for a similar transaction within U.S. GAAP and apply that guidance by analogy. We accounted for the ERC by analogy to International Accounting Standards (IAS) 20, Accounting for Government Grants and Disclosure of Government Assistance, of International Financial Reporting Standards (IFRS). Under an IAS 20 analogy, a business entity would recognize the credit on a systematic basis over the periods in which the entity recognizes the payroll expenses for which the ERC is intended to compensate when there is reasonable assurance that the entity will comply with any conditions attached to the ERC and the ERC will be received.</w:t>
      </w:r>
    </w:p>
    <w:p>
      <w:pPr>
        <w:spacing w:after="0" w:line="18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we amended certain payroll tax filings and applied for a refund of $1.2 million of ERC benefits. The refund was recorded within the other receivables in our consolidated balance sheets, and as a $0.8 million reduction of research and development expenses and a $0.4 million reduction of general and administrative expenses in our consolidated statements of operations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of Credit Losses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available-for-sale securities in an unrealized loss position, we first assess whether we intend to sell, or if it is more likely than not that we will be required to sell, the security before recovery of its amortized cost basis. If either of the criteria regarding intent or requirement to sell is met, the security’s amortized cost basis is written down to fair value through earnings. For available-for-sale securities that do not meet the aforementioned criteria, we evaluate whether the decline in fair value has resulted from credit losses or other factors. In making this assessment, we consider the severity of the impairment, any changes in interest rates, market conditions, changes to the underlying credit ratings and forecasted recovery, among other factors. The credit-related portion of unrealized losses, and any subsequent improvements, are recorded in interest income through an allowance account. Any impairment that has not been recorded through an allowance for credit losses is included in other comprehensive income (loss) on the unaudited interim condensed consolidated statements of operations and comprehensive loss.</w:t>
      </w:r>
    </w:p>
    <w:p>
      <w:pPr>
        <w:spacing w:after="0" w:line="192"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We elected the practical expedient to exclude the applicable accrued interest from both the fair value and amortized costs basis of our available-for-sale securities for purposes of identifying and measuring an impairment. Accrued interest receivable on available-for-sale securities is recorded within prepaid expenses and other current assets on our unaudited interim condensed consolidated balance sheets. Our accounting policy is to not measure an allowance for credit loss for accrued interest receivable and to write-off any uncollectible accrued interest receivable as a reversal of interest income in a timely manner, which we consider to be in the period in which we determine the accrued interest will not be collected by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Our unaudited interim condensed consolidated financial statements are prepared in accordance with U.S. GAAP. The preparation of our unaudited interim condensed consolidated financial statements requires us to make estimates and assumptions that impact the reported amounts of assets, liabilities and expenses and the disclosure for these items in our unaudited interim condensed consolidated financial statements and accompanying notes. The most significant estimates in our unaudited interim condensed consolidated financial statements relate to clinical trial and research and development expenses. Although these estimates are based on our knowledge 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current events and actions we may undertake in the future, actual results may ultimately differ materially from these estimates and assumptions.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Accrued expenses include salaries, wages, benefits costs, consulting fees, legal and research and development costs. We have entered into contractual arrangements related to our clinical studies with clinical research organizations (CROs) and contracted development and manufacturing organizations (CDMOs) and recognize expense based on work completed and efforts expended pursuant to our contractual arrangements. We make estimates of our accrued CRO costs as of each balance sheet date based on facts and circumstances known at the time and include total trial management costs, sites activated, patients enrolled and number of patient visits. We estimate the time period over which services will be performed and the level of effort to be expended in each period. There may be instances in which payments made to our service providers including CROs and CDMOs, will temporarily exceed the level of services provided and result in a prepayment of the expense. If the actual timing of the performance of services or the level of effort varies from our estimate, we adjust the accrual or prepaid expense balance accordingly. Historically, our estimated accrued liabilities have materially approximated actual expenses incurred.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inception. Short-term leases with an initial term of 12 months or less are not recorded on our balance sheet. For long-term leases with an initial term of greater than 12 months, we recognize a right-of-use asset (ROU) and a lease liability based on the present value of future lease payments using an estimated rate of interest that we would pay to borrow equivalent funds on a collateralized basis at the lease commencement date. We determine the lease term at the commencement date by considering whether renewal options and termination options are reasonably assured of exercise. Rent expense for operating leases is recognized on a straight-line basis over the lease term and is included in operating expenses in our unaudited interim condensed consolidated statements of operations. For financing leases, interest expense and amortization of the ROU is included in operating expenses in our unaudited interim condensed consolidated statements of operations and variable lease payments are expensed as incurred.</w:t>
      </w:r>
    </w:p>
    <w:p>
      <w:pPr>
        <w:spacing w:after="0" w:line="192"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If a lease is modified, the modified contract is evaluated to determine whether it is or contains a lease. If a lease continues to exist, the lease modification is determined to be a separate contract when the modification grants the lessee an additional ROU that is not included in the original lease and the lease payments increase commensurate with the standalone price for the additional ROU. A lease modification that results in a separate contract will be accounted for in the same manner as a new lease. For a modification that is not a separate contract, we reassess the lease classification using the modified terms and conditions and the facts and circumstances as of the effective date of the modification and recognize the amount of the remeasurement of the lease liability for the modified lease as an adjustment to the corresponding ROU asset.</w:t>
      </w:r>
    </w:p>
    <w:p>
      <w:pPr>
        <w:spacing w:after="0" w:line="187"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Our ROU assets consist of a non-cancelable operating lease for our corporate headquarters and financing leases. Financing leases consist of leases for various research and development and information technology equipment.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do not separate lease and non-lease components for our long-term leases.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9"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 xml:space="preserve">We evaluate our agreements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We recognize revenue when we transfer promised goods or services to customers in an amount that reflects the consideration to which we expect to be entitled in exchange for those goods or services. In determining the appropriate amount of revenue to be recognized as we fulfill our obligations under our agreement,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develop assumptions that require judgment to determine the stand-alone selling price for each performance obligation identified in the contract. We use key assumptions to determine the stand-alone selling price, which may include forecasted revenues, development timelines, reimbursement rates for personnel costs, discount rates and probabilities of technical and regulatory success.</w:t>
      </w:r>
    </w:p>
    <w:p>
      <w:pPr>
        <w:spacing w:after="0" w:line="187"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We recognize revenue in one of two ways, over time or at a point in time. We recognize revenue over time when we are executing on our performance obligation over time and our partner receives benefit over time. For example, we recognize revenue over time when we provide research and development services. We recognize revenue at a point in time when we transfer control of a distinct performance obligation to our partner. For example, if a license to our intellectual property is determined to be distinct from the other performance obligations identified in the arrangement, we recognize revenues from non-refundable, up-front fees allocated to the license when the license is transferred to the licensee and the licensee is able to use and benefit from the license.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weighted-average number of common shares outstanding for the period. Diluted net loss per share is calculated by dividing the net loss by the weighted-average number of common stock equivalents outstanding for the period determined using the treasury-stock method. Dilutive common stock equivalents are comprised of warrants for common stock, options and restricted stock units outstanding under our stock option plans and estimated shares to be purchased under our employee stock purchase plan. For all periods presented, there is no difference in the number of shares used to calculate basic and diluted shares outstanding due to our net loss position.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Potentially dilutive securities not considered for the calculation of diluted net loss per share are as follows (in common stock equivalents):</w:t>
      </w:r>
    </w:p>
    <w:p>
      <w:pPr>
        <w:spacing w:after="0" w:line="235"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92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9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9"/>
        </w:trPr>
        <w:tc>
          <w:tcPr>
            <w:tcW w:w="8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2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13,760</w:t>
            </w:r>
          </w:p>
        </w:tc>
        <w:tc>
          <w:tcPr>
            <w:tcW w:w="100" w:type="dxa"/>
            <w:vAlign w:val="bottom"/>
            <w:shd w:val="clear" w:color="auto" w:fill="CFF0FC"/>
          </w:tcPr>
          <w:p>
            <w:pPr>
              <w:spacing w:after="0"/>
              <w:rPr>
                <w:sz w:val="20"/>
                <w:szCs w:val="20"/>
                <w:color w:val="auto"/>
              </w:rPr>
            </w:pPr>
          </w:p>
        </w:tc>
      </w:tr>
      <w:tr>
        <w:trPr>
          <w:trHeight w:val="239"/>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 options and restricted stock units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5,853,181</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4,033,293</w:t>
            </w:r>
          </w:p>
        </w:tc>
        <w:tc>
          <w:tcPr>
            <w:tcW w:w="100" w:type="dxa"/>
            <w:vAlign w:val="bottom"/>
          </w:tcPr>
          <w:p>
            <w:pPr>
              <w:spacing w:after="0"/>
              <w:rPr>
                <w:sz w:val="20"/>
                <w:szCs w:val="20"/>
                <w:color w:val="auto"/>
              </w:rPr>
            </w:pPr>
          </w:p>
        </w:tc>
      </w:tr>
      <w:tr>
        <w:trPr>
          <w:trHeight w:val="247"/>
        </w:trPr>
        <w:tc>
          <w:tcPr>
            <w:tcW w:w="6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37,023</w:t>
            </w:r>
          </w:p>
        </w:tc>
        <w:tc>
          <w:tcPr>
            <w:tcW w:w="280" w:type="dxa"/>
            <w:vAlign w:val="bottom"/>
            <w:tcBorders>
              <w:bottom w:val="single" w:sz="8" w:color="CFF0FC"/>
            </w:tcBorders>
            <w:shd w:val="clear" w:color="auto" w:fill="CFF0FC"/>
          </w:tcPr>
          <w:p>
            <w:pPr>
              <w:spacing w:after="0"/>
              <w:rPr>
                <w:sz w:val="21"/>
                <w:szCs w:val="21"/>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5,893,090</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4,078,208</w:t>
            </w:r>
          </w:p>
        </w:tc>
        <w:tc>
          <w:tcPr>
            <w:tcW w:w="100" w:type="dxa"/>
            <w:vAlign w:val="bottom"/>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which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We are currently evaluating the disclosure requirements related to the new standard.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8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prepaid and other assets, accounts payable and accrued liabilities are considered to be representative of their respective fair values because of the short-term nature of those instruments. Investment securities are recorded at fair value.</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 Observable inputs such as quoted prices in active markets.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2: Inputs, other than the quoted prices in active markets that are observable either directly or indirectly.</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3: Unobservable inputs in which there is little or no market data, which require the reporting entity to develop its own assumptions.</w:t>
      </w:r>
    </w:p>
    <w:p>
      <w:pPr>
        <w:spacing w:after="0" w:line="225"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Financial assets measured at fair value on a recurring basis consist of investment securities. Investment securities are recorded at fair value, defined as the exit price in the principal market in which we would transact, representing the amount that would be received to sell an asset or paid to transfer a liability in an orderly transaction between market participants. Level 2 securities are valued using quoted market prices for similar instruments, non-binding market prices that are corroborated by observable market data, or discounted cash flow techniques and include our investments in commercial paper, corporate debt securities and U.S. government agencies securities. We have no financial liabilities measured at fair value on a recurring basis. None of our non-financial assets and liabilities are recorded at fair value on a non-recurring basis. No transfers between levels have occurred during the periods presented.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Assets measured at fair value on a recurring basis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1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2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Quoted Prices in</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8"/>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29"/>
        </w:trPr>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7"/>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6"/>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3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6"/>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43"/>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lef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tcBorders>
              <w:top w:val="single" w:sz="8" w:color="auto"/>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right w:val="single" w:sz="8" w:color="CFF0FC"/>
            </w:tcBorders>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80" w:type="dxa"/>
            <w:vAlign w:val="bottom"/>
            <w:tcBorders>
              <w:right w:val="single" w:sz="8" w:color="CFF0FC"/>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lef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80" w:type="dxa"/>
            <w:vAlign w:val="bottom"/>
            <w:tcBorders>
              <w:righ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4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120" w:type="dxa"/>
            <w:vAlign w:val="bottom"/>
          </w:tcPr>
          <w:p>
            <w:pPr>
              <w:spacing w:after="0"/>
              <w:rPr>
                <w:sz w:val="20"/>
                <w:szCs w:val="20"/>
                <w:color w:val="auto"/>
              </w:rPr>
            </w:pPr>
          </w:p>
        </w:tc>
        <w:tc>
          <w:tcPr>
            <w:tcW w:w="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lef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80" w:type="dxa"/>
            <w:vAlign w:val="bottom"/>
            <w:tcBorders>
              <w:righ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41,173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23,562</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23,562</w:t>
            </w:r>
          </w:p>
        </w:tc>
        <w:tc>
          <w:tcPr>
            <w:tcW w:w="160" w:type="dxa"/>
            <w:vAlign w:val="bottom"/>
            <w:tcBorders>
              <w:left w:val="single" w:sz="8" w:color="CFF0FC"/>
            </w:tcBorders>
            <w:shd w:val="clear" w:color="auto" w:fill="CFF0FC"/>
          </w:tcPr>
          <w:p>
            <w:pPr>
              <w:spacing w:after="0"/>
              <w:rPr>
                <w:sz w:val="21"/>
                <w:szCs w:val="21"/>
                <w:color w:val="auto"/>
              </w:rPr>
            </w:pPr>
          </w:p>
        </w:tc>
        <w:tc>
          <w:tcPr>
            <w:tcW w:w="80" w:type="dxa"/>
            <w:vAlign w:val="bottom"/>
            <w:tcBorders>
              <w:righ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7"/>
        </w:trPr>
        <w:tc>
          <w:tcPr>
            <w:tcW w:w="3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right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71,677</w:t>
            </w: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3"/>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right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71,677</w:t>
            </w:r>
          </w:p>
        </w:tc>
        <w:tc>
          <w:tcPr>
            <w:tcW w:w="160" w:type="dxa"/>
            <w:vAlign w:val="bottom"/>
            <w:tcBorders>
              <w:left w:val="single" w:sz="8" w:color="CFF0FC"/>
              <w:bottom w:val="single" w:sz="8" w:color="CFF0FC"/>
            </w:tcBorders>
            <w:shd w:val="clear" w:color="auto" w:fill="CFF0FC"/>
          </w:tcPr>
          <w:p>
            <w:pPr>
              <w:spacing w:after="0"/>
              <w:rPr>
                <w:sz w:val="20"/>
                <w:szCs w:val="20"/>
                <w:color w:val="auto"/>
              </w:rPr>
            </w:pPr>
          </w:p>
        </w:tc>
        <w:tc>
          <w:tcPr>
            <w:tcW w:w="80" w:type="dxa"/>
            <w:vAlign w:val="bottom"/>
            <w:tcBorders>
              <w:bottom w:val="single" w:sz="8" w:color="CFF0FC"/>
              <w:right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gridSpan w:val="3"/>
          </w:tcPr>
          <w:p>
            <w:pPr>
              <w:spacing w:after="0"/>
              <w:rPr>
                <w:sz w:val="20"/>
                <w:szCs w:val="20"/>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76,760</w:t>
            </w:r>
          </w:p>
        </w:tc>
        <w:tc>
          <w:tcPr>
            <w:tcW w:w="120" w:type="dxa"/>
            <w:vAlign w:val="bottom"/>
          </w:tcPr>
          <w:p>
            <w:pPr>
              <w:spacing w:after="0"/>
              <w:rPr>
                <w:sz w:val="20"/>
                <w:szCs w:val="20"/>
                <w:color w:val="auto"/>
              </w:rPr>
            </w:pPr>
          </w:p>
        </w:tc>
        <w:tc>
          <w:tcPr>
            <w:tcW w:w="180" w:type="dxa"/>
            <w:vAlign w:val="bottom"/>
            <w:gridSpan w:val="2"/>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Quoted Prices in</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30"/>
        </w:trPr>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7"/>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for Identical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6"/>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3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7"/>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43"/>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left w:val="single" w:sz="8" w:color="CFF0FC"/>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right w:val="single" w:sz="8" w:color="CFF0FC"/>
            </w:tcBorders>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80" w:type="dxa"/>
            <w:vAlign w:val="bottom"/>
            <w:tcBorders>
              <w:top w:val="single" w:sz="8" w:color="auto"/>
              <w:right w:val="single" w:sz="8" w:color="CFF0FC"/>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lef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80" w:type="dxa"/>
            <w:vAlign w:val="bottom"/>
            <w:tcBorders>
              <w:righ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4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lef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tcBorders>
              <w:right w:val="single" w:sz="8" w:color="CFF0FC"/>
            </w:tcBorders>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80" w:type="dxa"/>
            <w:vAlign w:val="bottom"/>
            <w:tcBorders>
              <w:righ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27,578</w:t>
            </w: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27,578</w:t>
            </w:r>
          </w:p>
        </w:tc>
        <w:tc>
          <w:tcPr>
            <w:tcW w:w="160" w:type="dxa"/>
            <w:vAlign w:val="bottom"/>
            <w:tcBorders>
              <w:left w:val="single" w:sz="8" w:color="CFF0FC"/>
            </w:tcBorders>
            <w:shd w:val="clear" w:color="auto" w:fill="CFF0FC"/>
          </w:tcPr>
          <w:p>
            <w:pPr>
              <w:spacing w:after="0"/>
              <w:rPr>
                <w:sz w:val="21"/>
                <w:szCs w:val="21"/>
                <w:color w:val="auto"/>
              </w:rPr>
            </w:pPr>
          </w:p>
        </w:tc>
        <w:tc>
          <w:tcPr>
            <w:tcW w:w="80" w:type="dxa"/>
            <w:vAlign w:val="bottom"/>
            <w:tcBorders>
              <w:righ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16,846</w:t>
            </w:r>
          </w:p>
        </w:tc>
        <w:tc>
          <w:tcPr>
            <w:tcW w:w="1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6"/>
        </w:trPr>
        <w:tc>
          <w:tcPr>
            <w:tcW w:w="3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20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right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75,622</w:t>
            </w: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right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75,622</w:t>
            </w:r>
          </w:p>
        </w:tc>
        <w:tc>
          <w:tcPr>
            <w:tcW w:w="160" w:type="dxa"/>
            <w:vAlign w:val="bottom"/>
            <w:tcBorders>
              <w:left w:val="single" w:sz="8" w:color="CFF0FC"/>
              <w:bottom w:val="single" w:sz="8" w:color="CFF0FC"/>
            </w:tcBorders>
            <w:shd w:val="clear" w:color="auto" w:fill="CFF0FC"/>
          </w:tcPr>
          <w:p>
            <w:pPr>
              <w:spacing w:after="0"/>
              <w:rPr>
                <w:sz w:val="20"/>
                <w:szCs w:val="20"/>
                <w:color w:val="auto"/>
              </w:rPr>
            </w:pPr>
          </w:p>
        </w:tc>
        <w:tc>
          <w:tcPr>
            <w:tcW w:w="80" w:type="dxa"/>
            <w:vAlign w:val="bottom"/>
            <w:tcBorders>
              <w:bottom w:val="single" w:sz="8" w:color="auto"/>
              <w:right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880" w:type="dxa"/>
            <w:vAlign w:val="bottom"/>
            <w:gridSpan w:val="2"/>
          </w:tcPr>
          <w:p>
            <w:pPr>
              <w:spacing w:after="0"/>
              <w:rPr>
                <w:sz w:val="20"/>
                <w:szCs w:val="20"/>
                <w:color w:val="auto"/>
              </w:rPr>
            </w:pPr>
          </w:p>
        </w:tc>
        <w:tc>
          <w:tcPr>
            <w:tcW w:w="52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97,248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21,626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75,622</w:t>
            </w:r>
          </w:p>
        </w:tc>
        <w:tc>
          <w:tcPr>
            <w:tcW w:w="16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0"/>
        </w:trPr>
        <w:tc>
          <w:tcPr>
            <w:tcW w:w="34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680" w:type="dxa"/>
            <w:vAlign w:val="bottom"/>
            <w:gridSpan w:val="27"/>
          </w:tcPr>
          <w:p>
            <w:pPr>
              <w:ind w:left="520"/>
              <w:spacing w:after="0"/>
              <w:rPr>
                <w:sz w:val="20"/>
                <w:szCs w:val="20"/>
                <w:color w:val="auto"/>
              </w:rPr>
            </w:pPr>
            <w:r>
              <w:rPr>
                <w:rFonts w:ascii="Times New Roman" w:cs="Times New Roman" w:eastAsia="Times New Roman" w:hAnsi="Times New Roman"/>
                <w:sz w:val="18"/>
                <w:szCs w:val="18"/>
                <w:color w:val="auto"/>
              </w:rPr>
              <w:t>As of June 30, 2024 and December 31, 2023, available-for-sale investments are detailed as follows (in thousands):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7"/>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Market Value</w:t>
            </w:r>
          </w:p>
        </w:tc>
      </w:tr>
      <w:tr>
        <w:trPr>
          <w:trHeight w:val="243"/>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00" w:type="dxa"/>
            <w:vAlign w:val="bottom"/>
            <w:tcBorders>
              <w:top w:val="single" w:sz="8" w:color="auto"/>
            </w:tcBorders>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40" w:type="dxa"/>
            <w:vAlign w:val="bottom"/>
            <w:tcBorders>
              <w:lef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right w:val="single" w:sz="8" w:color="CFF0FC"/>
            </w:tcBorders>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80" w:type="dxa"/>
            <w:vAlign w:val="bottom"/>
            <w:tcBorders>
              <w:right w:val="single" w:sz="8" w:color="CFF0FC"/>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3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41,245</w:t>
            </w:r>
          </w:p>
        </w:tc>
        <w:tc>
          <w:tcPr>
            <w:tcW w:w="1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(72 )</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41,173</w:t>
            </w:r>
          </w:p>
        </w:tc>
        <w:tc>
          <w:tcPr>
            <w:tcW w:w="100" w:type="dxa"/>
            <w:vAlign w:val="bottom"/>
          </w:tcPr>
          <w:p>
            <w:pPr>
              <w:spacing w:after="0"/>
              <w:rPr>
                <w:sz w:val="20"/>
                <w:szCs w:val="20"/>
                <w:color w:val="auto"/>
              </w:rPr>
            </w:pPr>
          </w:p>
        </w:tc>
      </w:tr>
      <w:tr>
        <w:trPr>
          <w:trHeight w:val="247"/>
        </w:trPr>
        <w:tc>
          <w:tcPr>
            <w:tcW w:w="3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4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23,603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8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tcBorders>
              <w:righ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23,562</w:t>
            </w:r>
          </w:p>
        </w:tc>
        <w:tc>
          <w:tcPr>
            <w:tcW w:w="100" w:type="dxa"/>
            <w:vAlign w:val="bottom"/>
            <w:shd w:val="clear" w:color="auto" w:fill="CFF0FC"/>
          </w:tcPr>
          <w:p>
            <w:pPr>
              <w:spacing w:after="0"/>
              <w:rPr>
                <w:sz w:val="21"/>
                <w:szCs w:val="21"/>
                <w:color w:val="auto"/>
              </w:rPr>
            </w:pPr>
          </w:p>
        </w:tc>
      </w:tr>
      <w:tr>
        <w:trPr>
          <w:trHeight w:val="243"/>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21"/>
                <w:szCs w:val="21"/>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6,942</w:t>
            </w:r>
          </w:p>
        </w:tc>
        <w:tc>
          <w:tcPr>
            <w:tcW w:w="1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2"/>
        </w:trPr>
        <w:tc>
          <w:tcPr>
            <w:tcW w:w="3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20" w:type="dxa"/>
            <w:vAlign w:val="bottom"/>
            <w:tcBorders>
              <w:right w:val="single" w:sz="8" w:color="CFF0FC"/>
            </w:tcBorders>
            <w:gridSpan w:val="2"/>
            <w:shd w:val="clear" w:color="auto" w:fill="CFF0FC"/>
          </w:tcPr>
          <w:p>
            <w:pPr>
              <w:spacing w:after="0"/>
              <w:rPr>
                <w:sz w:val="21"/>
                <w:szCs w:val="21"/>
                <w:color w:val="auto"/>
              </w:rPr>
            </w:pPr>
          </w:p>
        </w:tc>
        <w:tc>
          <w:tcPr>
            <w:tcW w:w="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71,795</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lef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(119 )</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71,677</w:t>
            </w:r>
          </w:p>
        </w:tc>
        <w:tc>
          <w:tcPr>
            <w:tcW w:w="100" w:type="dxa"/>
            <w:vAlign w:val="bottom"/>
            <w:shd w:val="clear" w:color="auto" w:fill="CFF0FC"/>
          </w:tcPr>
          <w:p>
            <w:pPr>
              <w:spacing w:after="0"/>
              <w:rPr>
                <w:sz w:val="21"/>
                <w:szCs w:val="21"/>
                <w:color w:val="auto"/>
              </w:rPr>
            </w:pPr>
          </w:p>
        </w:tc>
      </w:tr>
      <w:tr>
        <w:trPr>
          <w:trHeight w:val="20"/>
        </w:trPr>
        <w:tc>
          <w:tcPr>
            <w:tcW w:w="3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64"/>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9"/>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Market Value</w:t>
            </w:r>
          </w:p>
        </w:tc>
      </w:tr>
      <w:tr>
        <w:trPr>
          <w:trHeight w:val="243"/>
        </w:trPr>
        <w:tc>
          <w:tcPr>
            <w:tcW w:w="3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200" w:type="dxa"/>
            <w:vAlign w:val="bottom"/>
            <w:shd w:val="clear" w:color="auto" w:fill="CFF0FC"/>
          </w:tcPr>
          <w:p>
            <w:pPr>
              <w:spacing w:after="0"/>
              <w:rPr>
                <w:sz w:val="21"/>
                <w:szCs w:val="21"/>
                <w:color w:val="auto"/>
              </w:rPr>
            </w:pPr>
          </w:p>
        </w:tc>
        <w:tc>
          <w:tcPr>
            <w:tcW w:w="680" w:type="dxa"/>
            <w:vAlign w:val="bottom"/>
            <w:tcBorders>
              <w:top w:val="single" w:sz="8" w:color="auto"/>
            </w:tcBorders>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44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80" w:type="dxa"/>
            <w:vAlign w:val="bottom"/>
            <w:tcBorders>
              <w:top w:val="single" w:sz="8" w:color="auto"/>
            </w:tcBorders>
            <w:shd w:val="clear" w:color="auto" w:fill="CFF0FC"/>
          </w:tcPr>
          <w:p>
            <w:pPr>
              <w:spacing w:after="0"/>
              <w:rPr>
                <w:sz w:val="21"/>
                <w:szCs w:val="21"/>
                <w:color w:val="auto"/>
              </w:rPr>
            </w:pPr>
          </w:p>
        </w:tc>
        <w:tc>
          <w:tcPr>
            <w:tcW w:w="140" w:type="dxa"/>
            <w:vAlign w:val="bottom"/>
            <w:tcBorders>
              <w:lef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right w:val="single" w:sz="8" w:color="CFF0FC"/>
            </w:tcBorders>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80" w:type="dxa"/>
            <w:vAlign w:val="bottom"/>
            <w:tcBorders>
              <w:righ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0"/>
                <w:szCs w:val="20"/>
                <w:color w:val="auto"/>
              </w:rPr>
            </w:pPr>
          </w:p>
        </w:tc>
        <w:tc>
          <w:tcPr>
            <w:tcW w:w="12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8"/>
              </w:rPr>
              <w:t>Within 1 year</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31,198</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(14 )</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31,198</w:t>
            </w:r>
          </w:p>
        </w:tc>
        <w:tc>
          <w:tcPr>
            <w:tcW w:w="100" w:type="dxa"/>
            <w:vAlign w:val="bottom"/>
          </w:tcPr>
          <w:p>
            <w:pPr>
              <w:spacing w:after="0"/>
              <w:rPr>
                <w:sz w:val="20"/>
                <w:szCs w:val="20"/>
                <w:color w:val="auto"/>
              </w:rPr>
            </w:pPr>
          </w:p>
        </w:tc>
      </w:tr>
      <w:tr>
        <w:trPr>
          <w:trHeight w:val="247"/>
        </w:trPr>
        <w:tc>
          <w:tcPr>
            <w:tcW w:w="3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shd w:val="clear" w:color="auto" w:fill="CFF0FC"/>
          </w:tcPr>
          <w:p>
            <w:pPr>
              <w:spacing w:after="0"/>
              <w:rPr>
                <w:sz w:val="21"/>
                <w:szCs w:val="21"/>
                <w:color w:val="auto"/>
              </w:rPr>
            </w:pPr>
          </w:p>
        </w:tc>
        <w:tc>
          <w:tcPr>
            <w:tcW w:w="1540" w:type="dxa"/>
            <w:vAlign w:val="bottom"/>
            <w:gridSpan w:val="6"/>
            <w:shd w:val="clear" w:color="auto" w:fill="CFF0FC"/>
          </w:tcPr>
          <w:p>
            <w:pPr>
              <w:jc w:val="center"/>
              <w:ind w:right="70"/>
              <w:spacing w:after="0"/>
              <w:rPr>
                <w:sz w:val="20"/>
                <w:szCs w:val="20"/>
                <w:color w:val="auto"/>
              </w:rPr>
            </w:pPr>
            <w:r>
              <w:rPr>
                <w:rFonts w:ascii="Times New Roman" w:cs="Times New Roman" w:eastAsia="Times New Roman" w:hAnsi="Times New Roman"/>
                <w:sz w:val="18"/>
                <w:szCs w:val="18"/>
                <w:color w:val="auto"/>
                <w:w w:val="99"/>
              </w:rPr>
              <w:t>Within 2 years</w:t>
            </w:r>
          </w:p>
        </w:tc>
        <w:tc>
          <w:tcPr>
            <w:tcW w:w="6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27,607</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lef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tcBorders>
              <w:right w:val="single" w:sz="8" w:color="CFF0FC"/>
            </w:tcBorders>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27,578</w:t>
            </w:r>
          </w:p>
        </w:tc>
        <w:tc>
          <w:tcPr>
            <w:tcW w:w="100" w:type="dxa"/>
            <w:vAlign w:val="bottom"/>
            <w:shd w:val="clear" w:color="auto" w:fill="CFF0FC"/>
          </w:tcPr>
          <w:p>
            <w:pPr>
              <w:spacing w:after="0"/>
              <w:rPr>
                <w:sz w:val="21"/>
                <w:szCs w:val="21"/>
                <w:color w:val="auto"/>
              </w:rPr>
            </w:pPr>
          </w:p>
        </w:tc>
      </w:tr>
      <w:tr>
        <w:trPr>
          <w:trHeight w:val="243"/>
        </w:trPr>
        <w:tc>
          <w:tcPr>
            <w:tcW w:w="3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agencies</w:t>
            </w:r>
          </w:p>
        </w:tc>
        <w:tc>
          <w:tcPr>
            <w:tcW w:w="200" w:type="dxa"/>
            <w:vAlign w:val="bottom"/>
          </w:tcPr>
          <w:p>
            <w:pPr>
              <w:spacing w:after="0"/>
              <w:rPr>
                <w:sz w:val="21"/>
                <w:szCs w:val="21"/>
                <w:color w:val="auto"/>
              </w:rPr>
            </w:pPr>
          </w:p>
        </w:tc>
        <w:tc>
          <w:tcPr>
            <w:tcW w:w="12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8"/>
              </w:rPr>
              <w:t>Within 1 year</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16,841</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16,846</w:t>
            </w:r>
          </w:p>
        </w:tc>
        <w:tc>
          <w:tcPr>
            <w:tcW w:w="1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2"/>
        </w:trPr>
        <w:tc>
          <w:tcPr>
            <w:tcW w:w="32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68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180" w:type="dxa"/>
            <w:vAlign w:val="bottom"/>
            <w:tcBorders>
              <w:right w:val="single" w:sz="8" w:color="CFF0FC"/>
            </w:tcBorders>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0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2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75,646</w:t>
            </w:r>
          </w:p>
        </w:tc>
        <w:tc>
          <w:tcPr>
            <w:tcW w:w="280" w:type="dxa"/>
            <w:vAlign w:val="bottom"/>
            <w:gridSpan w:val="2"/>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left w:val="single" w:sz="8" w:color="CFF0FC"/>
            </w:tcBorders>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140" w:type="dxa"/>
            <w:vAlign w:val="bottom"/>
            <w:tcBorders>
              <w:right w:val="single" w:sz="8" w:color="CFF0FC"/>
            </w:tcBorders>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(76 )</w:t>
            </w:r>
          </w:p>
        </w:tc>
        <w:tc>
          <w:tcPr>
            <w:tcW w:w="2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75,622</w:t>
            </w:r>
          </w:p>
        </w:tc>
        <w:tc>
          <w:tcPr>
            <w:tcW w:w="100" w:type="dxa"/>
            <w:vAlign w:val="bottom"/>
            <w:shd w:val="clear" w:color="auto" w:fill="CFF0FC"/>
          </w:tcPr>
          <w:p>
            <w:pPr>
              <w:spacing w:after="0"/>
              <w:rPr>
                <w:sz w:val="23"/>
                <w:szCs w:val="23"/>
                <w:color w:val="auto"/>
              </w:rPr>
            </w:pPr>
          </w:p>
        </w:tc>
      </w:tr>
      <w:tr>
        <w:trPr>
          <w:trHeight w:val="417"/>
        </w:trPr>
        <w:tc>
          <w:tcPr>
            <w:tcW w:w="320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6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40" w:type="dxa"/>
            <w:vAlign w:val="bottom"/>
            <w:tcBorders>
              <w:top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50"/>
        </w:trPr>
        <w:tc>
          <w:tcPr>
            <w:tcW w:w="3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-6908800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-6908800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-6908800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-6908800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-4268470</wp:posOffset>
            </wp:positionV>
            <wp:extent cx="774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-4268470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-4268470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-4268470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-2348230</wp:posOffset>
            </wp:positionV>
            <wp:extent cx="768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-2331085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-2348230</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-2331085</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-2348230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-2331085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-2331085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-788035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-770890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-788035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-770890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-788035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-770890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217" w:gutter="0" w:footer="0" w:header="0"/>
        </w:sectPr>
      </w:pPr>
    </w:p>
    <w:bookmarkStart w:id="12" w:name="page13"/>
    <w:bookmarkEnd w:id="12"/>
    <w:p>
      <w:pPr>
        <w:jc w:val="both"/>
        <w:ind w:firstLine="562"/>
        <w:spacing w:after="0" w:line="255" w:lineRule="auto"/>
        <w:rPr>
          <w:sz w:val="20"/>
          <w:szCs w:val="20"/>
          <w:color w:val="auto"/>
        </w:rPr>
      </w:pPr>
      <w:r>
        <w:rPr>
          <w:rFonts w:ascii="Times New Roman" w:cs="Times New Roman" w:eastAsia="Times New Roman" w:hAnsi="Times New Roman"/>
          <w:sz w:val="18"/>
          <w:szCs w:val="18"/>
          <w:color w:val="212529"/>
        </w:rPr>
        <w:t>We evaluate our available-for-sale debt securities for credit losses when the amortized cost basis exceeds fair value. The credit-related portion of unrealized losses, and any subsequent improvements, are recorded in interest income through an allowance account. Unrealized gains and losses that are not credit-related are included in accumulated other comprehensive income (loss). When evaluating an investment for impairment, we review factors such as the severity of the impairment, changes in underlying credit ratings, our intent to sell or the likelihood that we would be required to sell the investment before its anticipated recovery in market value and the probability that the scheduled cash payments will continue to be made. We recorded no allowance for credit losses in the unaudited interim condensed consolidated statements of operations and comprehensive loss during the six months ended June 30, 2024.</w:t>
      </w:r>
    </w:p>
    <w:p>
      <w:pPr>
        <w:spacing w:after="0" w:line="18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As of June 30, 2024, all available-for-sale investments had a variety of effective maturity dates of less than one year. As of June 30, 2024, 25 out of 27 available-for-sale investments were in a gross unrealized loss position of which four available-for-sale investments with a market value of $8.0 million were in such position for greater than 12 months.</w:t>
      </w:r>
    </w:p>
    <w:p>
      <w:pPr>
        <w:spacing w:after="0" w:line="176"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accrued interest receivable on available-for-sale securities for each of the period-ended was $0.3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License, Collaboration and Other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Kyorin Pharmaceutical Co., Ltd.</w:t>
      </w:r>
    </w:p>
    <w:p>
      <w:pPr>
        <w:spacing w:after="0" w:line="119" w:lineRule="exact"/>
        <w:rPr>
          <w:sz w:val="20"/>
          <w:szCs w:val="20"/>
          <w:color w:val="auto"/>
        </w:rPr>
      </w:pPr>
    </w:p>
    <w:p>
      <w:pPr>
        <w:jc w:val="both"/>
        <w:ind w:firstLine="569"/>
        <w:spacing w:after="0" w:line="246" w:lineRule="auto"/>
        <w:rPr>
          <w:sz w:val="20"/>
          <w:szCs w:val="20"/>
          <w:color w:val="auto"/>
        </w:rPr>
      </w:pPr>
      <w:r>
        <w:rPr>
          <w:rFonts w:ascii="Times New Roman" w:cs="Times New Roman" w:eastAsia="Times New Roman" w:hAnsi="Times New Roman"/>
          <w:sz w:val="18"/>
          <w:szCs w:val="18"/>
          <w:color w:val="auto"/>
        </w:rPr>
        <w:t>In January 2020, we entered into a collaboration and license agreement (Kyorin Agreement) with Kyorin Pharmaceutical Co., Ltd. (Kyorin) for the development and commercialization of efzofitimod for the treatment of interstitial lung disease (ILD) in Japan. Under the Kyorin Agreement, Kyorin received an exclusive right to develop and commercialize efzofitimod in Japan for all forms of ILD, and is obligated to fund all research, development, regulatory, marketing and commercialization activities in Japan. In 2020, Kyorin conducted and funded a Phase 1 clinical trial of efzofitimod (known as KRP-R120 in Japan). The Phase 1 clinical trial was a placebo-controlled clinical trial to evaluate the safety, pharmacokinetics (PK) and immunogenicity of efzofitimod in 32 healthy Japanese male volunteers. Efzofitimod was observed to be generally well-tolerated with no drug-related serious adverse events, and PK findings were consistent with previous studies of efzofitimod. Kyorin is also participating in the EFZO-FIT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study as the local sponsor in Japan. In February 2023, Kyorin dosed the first patient in Japan in the EFZO-FIT study which triggered a $10.0 million milestone payment to us. To date, the Kyorin Agreement has generated $20.0 million in upfront and milestone payments to us and we are eligible to receive up to an additional $155.0 million in the aggregate upon achievement of certain development, regulatory and sales milestones, as well as tiered royalties on any net sales in Japan.</w:t>
      </w:r>
    </w:p>
    <w:p>
      <w:pPr>
        <w:spacing w:after="0" w:line="197"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Either party may terminate the Kyorin Agreement in the event that the other party breaches the agreement and fails to cure the breach, becomes insolvent or challenges certain of the intellectual property rights licensed under the agreement.</w:t>
      </w:r>
    </w:p>
    <w:p>
      <w:pPr>
        <w:spacing w:after="0" w:line="162"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We assessed our license and collaboration with Kyorin in accordance with Topic 606 and concluded that Kyorin is a customer. We identified the following performance obligations under the Kyorin Agreement: 1) the license of efzofitimod for ILD in Japan; and 2) free clinical trial material for Kyorin’s Phase 1 clinical trial. Kyorin is participating in the EFZO-FIT study and received approval from the Pharmaceuticals and Medical Devices Agency (PMDA) to commence the EFZO-FIT study in Japan in December 2022. Additionally, in February 2023, Kyorin dosed the first patient in Japan in the EFZO-FIT study which triggered a $10.0 million milestone payment to us. We recognized this $10.0 million milestone payment as revenue during the year ended December 31, 2022, as we determined the milestone became probable of achievement as of December 31, 2022, with Kyorin having scheduled site visits for patient screenings by that time. We received this $10.0 million milestone payment in February 2023. For the three and six months ended June 30, 2024, we recognized $0 and $0.2 million in collaboration revenue from Kyorin for drug product material sold to Kyorin for the Japan portion of the EFZO-FIT study. We did not recognize any revenue from Kyorin during the three and six months ended June 30, 2023.</w:t>
      </w:r>
    </w:p>
    <w:p>
      <w:pPr>
        <w:spacing w:after="0" w:line="188"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The remaining milestones and royalty payments under the Kyorin Agreement are variable consideration. Since milestone payments are binary in nature, we will use the “most-likely” method to evaluate whether the milestones should be included as revenue. We will constrain these amounts until the milestone is probable of being achieved. The royalties are dependent on future sales by Kyorin which are at the full discretion of Kyorin. Accordingly, we constrain these amounts until the future sales have occurred.</w:t>
      </w:r>
    </w:p>
    <w:p>
      <w:pPr>
        <w:spacing w:after="0" w:line="176" w:lineRule="exact"/>
        <w:rPr>
          <w:sz w:val="20"/>
          <w:szCs w:val="20"/>
          <w:color w:val="auto"/>
        </w:rPr>
      </w:pPr>
    </w:p>
    <w:p>
      <w:pPr>
        <w:ind w:right="8500" w:firstLine="8"/>
        <w:spacing w:after="0" w:line="412"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Operating Leases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Headquarters Facility Lease</w:t>
      </w:r>
    </w:p>
    <w:p>
      <w:pPr>
        <w:spacing w:after="0" w:line="119"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In May 2022, we entered into a lease (the Lease) with San Diego Creekside, LLC (Landlord), as lessor, pursuant to which we agreed to lease from Landlord approximately 23,696 rentable square feet (subject to increase pursuant to the terms of the Lease) of office and laboratory space. The term of the lease (the Lease Term) commenced on March 20, 2023 (the Lease Commencement Date) and will continue for 124 months from the Lease Commencement Date. We also have one option to extend the Lease Term for five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jc w:val="both"/>
        <w:spacing w:after="0" w:line="254" w:lineRule="auto"/>
        <w:rPr>
          <w:sz w:val="20"/>
          <w:szCs w:val="20"/>
          <w:color w:val="auto"/>
        </w:rPr>
      </w:pPr>
      <w:r>
        <w:rPr>
          <w:rFonts w:ascii="Times New Roman" w:cs="Times New Roman" w:eastAsia="Times New Roman" w:hAnsi="Times New Roman"/>
          <w:sz w:val="18"/>
          <w:szCs w:val="18"/>
          <w:color w:val="auto"/>
        </w:rPr>
        <w:t>years. Base rent during such extension period would be at the fair market rent for the Premises (as that term is defined in the Lease). Under the terms of the Lease, the base rent during the first 12 months of the Lease Term was $5.75 per square foot of rentable area per month, and the base rent following the first 12 months of the Lease Term is subject to certain upward adjustments of approximately 3.0% annually. As of June 30, 2024, we received $5.3 million in allowance payments for tenant improvements, which represents the full allowance to which we were entitled under the Lease. We provided a $0.7 million security deposit in the form of a letter of credit which is included in restricted cash as of June 30, 2024. During the second quarter of 2023, additional common area amenities were completed by the Landlord which provided us with access to an estimated 1,500 additional rentable square feet. In April 2024, we finalized an amendment to the Lease (the Lease Amendment), effective June 2023. The additional rentable square feet was adjusted to 1,170 square feet for a total of 24,866 rentable square feet and our base rent increased for this additional rentable square feet at the same monthly base rent per rentable square foot as contemplated in the Lease.</w:t>
      </w:r>
    </w:p>
    <w:p>
      <w:pPr>
        <w:spacing w:after="0" w:line="188" w:lineRule="exact"/>
        <w:rPr>
          <w:sz w:val="20"/>
          <w:szCs w:val="20"/>
          <w:color w:val="auto"/>
        </w:rPr>
      </w:pPr>
    </w:p>
    <w:p>
      <w:pPr>
        <w:jc w:val="both"/>
        <w:ind w:right="20" w:firstLine="628"/>
        <w:spacing w:after="0" w:line="282" w:lineRule="auto"/>
        <w:rPr>
          <w:sz w:val="20"/>
          <w:szCs w:val="20"/>
          <w:color w:val="auto"/>
        </w:rPr>
      </w:pPr>
      <w:r>
        <w:rPr>
          <w:rFonts w:ascii="Times New Roman" w:cs="Times New Roman" w:eastAsia="Times New Roman" w:hAnsi="Times New Roman"/>
          <w:sz w:val="18"/>
          <w:szCs w:val="18"/>
          <w:color w:val="auto"/>
        </w:rPr>
        <w:t>Future minimum payments under the facility leases and reconciliation to the operating lease liability as of June 30, 2024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 and thereafter</w:t>
            </w: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80" w:type="dxa"/>
            <w:vAlign w:val="bottom"/>
          </w:tcPr>
          <w:p>
            <w:pPr>
              <w:spacing w:after="0"/>
              <w:rPr>
                <w:sz w:val="21"/>
                <w:szCs w:val="21"/>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(5,902 )</w:t>
            </w:r>
          </w:p>
        </w:tc>
      </w:tr>
      <w:tr>
        <w:trPr>
          <w:trHeight w:val="23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8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100" w:type="dxa"/>
            <w:vAlign w:val="bottom"/>
            <w:shd w:val="clear" w:color="auto" w:fill="CFF0FC"/>
          </w:tcPr>
          <w:p>
            <w:pPr>
              <w:spacing w:after="0"/>
              <w:rPr>
                <w:sz w:val="20"/>
                <w:szCs w:val="20"/>
                <w:color w:val="auto"/>
              </w:rPr>
            </w:pP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liability</w:t>
            </w:r>
          </w:p>
        </w:tc>
        <w:tc>
          <w:tcPr>
            <w:tcW w:w="180" w:type="dxa"/>
            <w:vAlign w:val="bottom"/>
          </w:tcPr>
          <w:p>
            <w:pPr>
              <w:spacing w:after="0"/>
              <w:rPr>
                <w:sz w:val="21"/>
                <w:szCs w:val="21"/>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(656 )</w:t>
            </w:r>
          </w:p>
        </w:tc>
      </w:tr>
      <w:tr>
        <w:trPr>
          <w:trHeight w:val="276"/>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 net of current portion</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2024 and 2023, we recorded an operating lease expense of $0.4 million and $0.5 million, respectively. For the six months ended June 30, 2024 and 2023, we recorded an operating lease expense of $0.7 million and $1.1 million, respectively. As of June 30, 2024, the weighted-average remaining lease term was 9.0 years and the weighted average discount rate was 8.8%.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Leases</w:t>
      </w:r>
    </w:p>
    <w:p>
      <w:pPr>
        <w:spacing w:after="0" w:line="121"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In April 2022, we entered into a master financing lease agreement to lease various research and development and information technology equipment over a 48-month term. Future minimum payments under the financing lease and reconciliation to the financing lease liability as of June 30, 2024 were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Financing Leases</w:t>
            </w: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r>
      <w:tr>
        <w:trPr>
          <w:trHeight w:val="232"/>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18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Borders>
              <w:top w:val="single" w:sz="8" w:color="CFF0FC"/>
            </w:tcBorders>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Current portion of financing lease liability</w:t>
            </w:r>
          </w:p>
        </w:tc>
        <w:tc>
          <w:tcPr>
            <w:tcW w:w="18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(517 )</w:t>
            </w:r>
          </w:p>
        </w:tc>
      </w:tr>
      <w:tr>
        <w:trPr>
          <w:trHeight w:val="237"/>
        </w:trPr>
        <w:tc>
          <w:tcPr>
            <w:tcW w:w="9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Long-term financing lease liability, net of current portion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As of June 30, 2024, the weighted-average remaining lease term was 2.5 years and the weighted-average discount rate was 8.3%. As of June 30, 2024, we have a $2.2 million deposit held as collateral for the leased equipment, and this deposit is included in restricted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Underwritten Follow-On Public Offerings</w:t>
      </w:r>
    </w:p>
    <w:p>
      <w:pPr>
        <w:spacing w:after="0" w:line="121" w:lineRule="exact"/>
        <w:rPr>
          <w:sz w:val="20"/>
          <w:szCs w:val="20"/>
          <w:color w:val="auto"/>
        </w:rPr>
      </w:pPr>
    </w:p>
    <w:p>
      <w:pPr>
        <w:jc w:val="both"/>
        <w:ind w:firstLine="569"/>
        <w:spacing w:after="0" w:line="257" w:lineRule="auto"/>
        <w:rPr>
          <w:sz w:val="20"/>
          <w:szCs w:val="20"/>
          <w:color w:val="auto"/>
        </w:rPr>
      </w:pPr>
      <w:r>
        <w:rPr>
          <w:rFonts w:ascii="Times New Roman" w:cs="Times New Roman" w:eastAsia="Times New Roman" w:hAnsi="Times New Roman"/>
          <w:sz w:val="18"/>
          <w:szCs w:val="18"/>
          <w:color w:val="auto"/>
        </w:rPr>
        <w:t>In February 2023, we completed an underwritten follow-on public offering of 23,125,000 shares of our common stock, including the partial exercise of the underwriters’ option to purchase additional shares, at a price to the public of $2.25 per share. The total net proceeds from the offering were approximately $48.1 million, after deducting underwriting discounts, commissions and offering expenses payable by us.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At the Market Offering Programs</w:t>
      </w:r>
    </w:p>
    <w:p>
      <w:pPr>
        <w:spacing w:after="0" w:line="128" w:lineRule="exact"/>
        <w:rPr>
          <w:sz w:val="20"/>
          <w:szCs w:val="20"/>
          <w:color w:val="auto"/>
        </w:rPr>
      </w:pPr>
    </w:p>
    <w:p>
      <w:pPr>
        <w:jc w:val="both"/>
        <w:ind w:right="60" w:firstLine="569"/>
        <w:spacing w:after="0" w:line="243" w:lineRule="auto"/>
        <w:rPr>
          <w:sz w:val="20"/>
          <w:szCs w:val="20"/>
          <w:color w:val="auto"/>
        </w:rPr>
      </w:pPr>
      <w:r>
        <w:rPr>
          <w:rFonts w:ascii="Times New Roman" w:cs="Times New Roman" w:eastAsia="Times New Roman" w:hAnsi="Times New Roman"/>
          <w:sz w:val="18"/>
          <w:szCs w:val="18"/>
          <w:color w:val="auto"/>
        </w:rPr>
        <w:t>In April 2022,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with Jefferies LLC (Jefferies) implementing an “at-the-market” offering program (the Jefferies ATM Offering Program), pursuant to which we may offer and sell, from time to time and at our option, up to an aggregate of $65.0 million of shares of our common stock through Jefferies, acting as sales agent. Jefferies is entitled to a fixed commission rate of up to 3.0% of the gross sales proceeds of shares sold under the Jefferies ATM Offering Program. During the year ended December 31, 2023, we sold an aggregate of 10,530,795 shares of common stock at a weighted-average price of $1.82 per share for net proceeds of approximately $18.4 million under the Jefferies ATM Offering Program. During the six months ended June 30, 2024, we sold an aggregate of 12,448,319 shares of common stock at a weighted-average price of $1.77 per share for net proceeds of approximately $21.3 million under the Jefferies ATM Offering Program.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Reserved for Future Issuance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Common stock reserved for future issuance was as follows:</w:t>
            </w: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520" w:type="dxa"/>
            <w:vAlign w:val="bottom"/>
          </w:tcPr>
          <w:p>
            <w:pPr>
              <w:spacing w:after="0"/>
              <w:rPr>
                <w:sz w:val="24"/>
                <w:szCs w:val="24"/>
                <w:color w:val="auto"/>
              </w:rPr>
            </w:pPr>
          </w:p>
        </w:tc>
        <w:tc>
          <w:tcPr>
            <w:tcW w:w="27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3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2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tcPr>
          <w:p>
            <w:pPr>
              <w:spacing w:after="0"/>
              <w:rPr>
                <w:sz w:val="20"/>
                <w:szCs w:val="20"/>
                <w:color w:val="auto"/>
              </w:rPr>
            </w:pPr>
          </w:p>
        </w:tc>
      </w:tr>
      <w:tr>
        <w:trPr>
          <w:trHeight w:val="247"/>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 and restricted stock units</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5,853,181</w:t>
            </w:r>
          </w:p>
        </w:tc>
        <w:tc>
          <w:tcPr>
            <w:tcW w:w="100" w:type="dxa"/>
            <w:vAlign w:val="bottom"/>
            <w:shd w:val="clear" w:color="auto" w:fill="CFF0FC"/>
          </w:tcPr>
          <w:p>
            <w:pPr>
              <w:spacing w:after="0"/>
              <w:rPr>
                <w:sz w:val="21"/>
                <w:szCs w:val="21"/>
                <w:color w:val="auto"/>
              </w:rPr>
            </w:pPr>
          </w:p>
        </w:tc>
      </w:tr>
      <w:tr>
        <w:trPr>
          <w:trHeight w:val="23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under the 2015 equity incentive plan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5,100,626</w:t>
            </w:r>
          </w:p>
        </w:tc>
        <w:tc>
          <w:tcPr>
            <w:tcW w:w="100" w:type="dxa"/>
            <w:vAlign w:val="bottom"/>
          </w:tcPr>
          <w:p>
            <w:pPr>
              <w:spacing w:after="0"/>
              <w:rPr>
                <w:sz w:val="20"/>
                <w:szCs w:val="20"/>
                <w:color w:val="auto"/>
              </w:rPr>
            </w:pPr>
          </w:p>
        </w:tc>
      </w:tr>
      <w:tr>
        <w:trPr>
          <w:trHeight w:val="247"/>
        </w:trPr>
        <w:tc>
          <w:tcPr>
            <w:tcW w:w="8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available under the 2022 inducement plan</w:t>
            </w:r>
          </w:p>
        </w:tc>
        <w:tc>
          <w:tcPr>
            <w:tcW w:w="2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104,158</w:t>
            </w:r>
          </w:p>
        </w:tc>
        <w:tc>
          <w:tcPr>
            <w:tcW w:w="100" w:type="dxa"/>
            <w:vAlign w:val="bottom"/>
            <w:shd w:val="clear" w:color="auto" w:fill="CFF0FC"/>
          </w:tcPr>
          <w:p>
            <w:pPr>
              <w:spacing w:after="0"/>
              <w:rPr>
                <w:sz w:val="21"/>
                <w:szCs w:val="21"/>
                <w:color w:val="auto"/>
              </w:rPr>
            </w:pPr>
          </w:p>
        </w:tc>
      </w:tr>
      <w:tr>
        <w:trPr>
          <w:trHeight w:val="24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under the employee stock purchase plan</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687,947</w:t>
            </w:r>
          </w:p>
        </w:tc>
        <w:tc>
          <w:tcPr>
            <w:tcW w:w="100" w:type="dxa"/>
            <w:vAlign w:val="bottom"/>
          </w:tcPr>
          <w:p>
            <w:pPr>
              <w:spacing w:after="0"/>
              <w:rPr>
                <w:sz w:val="21"/>
                <w:szCs w:val="21"/>
                <w:color w:val="auto"/>
              </w:rPr>
            </w:pPr>
          </w:p>
        </w:tc>
      </w:tr>
      <w:tr>
        <w:trPr>
          <w:trHeight w:val="272"/>
        </w:trPr>
        <w:tc>
          <w:tcPr>
            <w:tcW w:w="8520" w:type="dxa"/>
            <w:vAlign w:val="bottom"/>
            <w:tcBorders>
              <w:bottom w:val="single" w:sz="8" w:color="CFF0FC"/>
            </w:tcBorders>
            <w:shd w:val="clear" w:color="auto" w:fill="CFF0FC"/>
          </w:tcPr>
          <w:p>
            <w:pPr>
              <w:spacing w:after="0"/>
              <w:rPr>
                <w:sz w:val="23"/>
                <w:szCs w:val="23"/>
                <w:color w:val="auto"/>
              </w:rPr>
            </w:pPr>
          </w:p>
        </w:tc>
        <w:tc>
          <w:tcPr>
            <w:tcW w:w="2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11,748,798</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under all equity incentive plans for the six months ended June 30,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2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620" w:type="dxa"/>
            <w:vAlign w:val="bottom"/>
          </w:tcPr>
          <w:p>
            <w:pPr>
              <w:spacing w:after="0"/>
              <w:rPr>
                <w:sz w:val="18"/>
                <w:szCs w:val="18"/>
                <w:color w:val="auto"/>
              </w:rPr>
            </w:pPr>
          </w:p>
        </w:tc>
        <w:tc>
          <w:tcPr>
            <w:tcW w:w="2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8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45"/>
        </w:trPr>
        <w:tc>
          <w:tcPr>
            <w:tcW w:w="6620" w:type="dxa"/>
            <w:vAlign w:val="bottom"/>
          </w:tcPr>
          <w:p>
            <w:pPr>
              <w:spacing w:after="0"/>
              <w:rPr>
                <w:sz w:val="21"/>
                <w:szCs w:val="21"/>
                <w:color w:val="auto"/>
              </w:rPr>
            </w:pPr>
          </w:p>
        </w:tc>
        <w:tc>
          <w:tcPr>
            <w:tcW w:w="2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Stock Options</w:t>
            </w:r>
          </w:p>
        </w:tc>
        <w:tc>
          <w:tcPr>
            <w:tcW w:w="280" w:type="dxa"/>
            <w:vAlign w:val="bottom"/>
          </w:tcPr>
          <w:p>
            <w:pPr>
              <w:spacing w:after="0"/>
              <w:rPr>
                <w:sz w:val="21"/>
                <w:szCs w:val="21"/>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2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3,956,827</w:t>
            </w:r>
          </w:p>
        </w:tc>
        <w:tc>
          <w:tcPr>
            <w:tcW w:w="36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FF0FC"/>
          </w:tcPr>
          <w:p>
            <w:pPr>
              <w:spacing w:after="0"/>
              <w:rPr>
                <w:sz w:val="21"/>
                <w:szCs w:val="21"/>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1,903,498</w:t>
            </w:r>
          </w:p>
        </w:tc>
        <w:tc>
          <w:tcPr>
            <w:tcW w:w="3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Canceled/forfeited/expired</w:t>
            </w:r>
          </w:p>
        </w:tc>
        <w:tc>
          <w:tcPr>
            <w:tcW w:w="2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(48,360 )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2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5,811,965</w:t>
            </w:r>
          </w:p>
        </w:tc>
        <w:tc>
          <w:tcPr>
            <w:tcW w:w="36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top w:val="single" w:sz="8" w:color="CFF0FC"/>
            </w:tcBorders>
          </w:tcPr>
          <w:p>
            <w:pPr>
              <w:spacing w:after="0"/>
              <w:rPr>
                <w:sz w:val="20"/>
                <w:szCs w:val="20"/>
                <w:color w:val="auto"/>
              </w:rPr>
            </w:pPr>
          </w:p>
        </w:tc>
      </w:tr>
      <w:tr>
        <w:trPr>
          <w:trHeight w:val="20"/>
        </w:trPr>
        <w:tc>
          <w:tcPr>
            <w:tcW w:w="66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-187960</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to determine the fair value of the employee stock option grants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346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1"/>
        </w:trPr>
        <w:tc>
          <w:tcPr>
            <w:tcW w:w="4440" w:type="dxa"/>
            <w:vAlign w:val="bottom"/>
          </w:tcPr>
          <w:p>
            <w:pPr>
              <w:spacing w:after="0"/>
              <w:rPr>
                <w:sz w:val="20"/>
                <w:szCs w:val="20"/>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5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5.50 – 5.72</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5.51 – 6.09</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5.50 – 6.02</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5.51 – 6.09</w:t>
            </w:r>
          </w:p>
        </w:tc>
        <w:tc>
          <w:tcPr>
            <w:tcW w:w="60" w:type="dxa"/>
            <w:vAlign w:val="bottom"/>
          </w:tcPr>
          <w:p>
            <w:pPr>
              <w:spacing w:after="0"/>
              <w:rPr>
                <w:sz w:val="20"/>
                <w:szCs w:val="20"/>
                <w:color w:val="auto"/>
              </w:rPr>
            </w:pP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4.5 %</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 – 3.8%</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 – 4.5%</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 – 4.0%</w:t>
            </w:r>
          </w:p>
        </w:tc>
        <w:tc>
          <w:tcPr>
            <w:tcW w:w="60" w:type="dxa"/>
            <w:vAlign w:val="bottom"/>
          </w:tcPr>
          <w:p>
            <w:pPr>
              <w:spacing w:after="0"/>
              <w:rPr>
                <w:sz w:val="20"/>
                <w:szCs w:val="20"/>
                <w:color w:val="auto"/>
              </w:rPr>
            </w:pPr>
          </w:p>
        </w:tc>
      </w:tr>
      <w:tr>
        <w:trPr>
          <w:trHeight w:val="252"/>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76.7% – 77.1%</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81.8% – 83.0%</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76.7% – 80.5%</w:t>
            </w: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81.8% – 83.0%</w:t>
            </w:r>
          </w:p>
        </w:tc>
        <w:tc>
          <w:tcPr>
            <w:tcW w:w="60" w:type="dxa"/>
            <w:vAlign w:val="bottom"/>
          </w:tcPr>
          <w:p>
            <w:pPr>
              <w:spacing w:after="0"/>
              <w:rPr>
                <w:sz w:val="21"/>
                <w:szCs w:val="21"/>
                <w:color w:val="auto"/>
              </w:rPr>
            </w:pP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2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restricted stock unit activity under all equity incentive plans for the six months ended June 30,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40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Number of Outstanding</w:t>
            </w:r>
          </w:p>
        </w:tc>
        <w:tc>
          <w:tcPr>
            <w:tcW w:w="260" w:type="dxa"/>
            <w:vAlign w:val="bottom"/>
          </w:tcPr>
          <w:p>
            <w:pPr>
              <w:spacing w:after="0"/>
              <w:rPr>
                <w:sz w:val="18"/>
                <w:szCs w:val="18"/>
                <w:color w:val="auto"/>
              </w:rPr>
            </w:pPr>
          </w:p>
        </w:tc>
        <w:tc>
          <w:tcPr>
            <w:tcW w:w="2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45"/>
        </w:trPr>
        <w:tc>
          <w:tcPr>
            <w:tcW w:w="40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4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5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1"/>
                <w:szCs w:val="21"/>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63,327</w:t>
            </w:r>
          </w:p>
        </w:tc>
        <w:tc>
          <w:tcPr>
            <w:tcW w:w="5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FF0FC"/>
          </w:tcPr>
          <w:p>
            <w:pPr>
              <w:spacing w:after="0"/>
              <w:rPr>
                <w:sz w:val="21"/>
                <w:szCs w:val="21"/>
                <w:color w:val="auto"/>
              </w:rPr>
            </w:pPr>
          </w:p>
        </w:tc>
      </w:tr>
      <w:tr>
        <w:trPr>
          <w:trHeight w:val="243"/>
        </w:trPr>
        <w:tc>
          <w:tcPr>
            <w:tcW w:w="4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Released</w:t>
            </w:r>
          </w:p>
        </w:tc>
        <w:tc>
          <w:tcPr>
            <w:tcW w:w="1820" w:type="dxa"/>
            <w:vAlign w:val="bottom"/>
          </w:tcPr>
          <w:p>
            <w:pPr>
              <w:spacing w:after="0"/>
              <w:rPr>
                <w:sz w:val="21"/>
                <w:szCs w:val="21"/>
                <w:color w:val="auto"/>
              </w:rPr>
            </w:pPr>
          </w:p>
        </w:tc>
        <w:tc>
          <w:tcPr>
            <w:tcW w:w="3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(22,111 )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21"/>
                <w:szCs w:val="21"/>
                <w:color w:val="auto"/>
              </w:rPr>
            </w:pPr>
          </w:p>
        </w:tc>
      </w:tr>
      <w:tr>
        <w:trPr>
          <w:trHeight w:val="276"/>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820" w:type="dxa"/>
            <w:vAlign w:val="bottom"/>
            <w:tcBorders>
              <w:bottom w:val="single" w:sz="8" w:color="CFF0FC"/>
            </w:tcBorders>
            <w:shd w:val="clear" w:color="auto" w:fill="CFF0FC"/>
          </w:tcPr>
          <w:p>
            <w:pPr>
              <w:spacing w:after="0"/>
              <w:rPr>
                <w:sz w:val="24"/>
                <w:szCs w:val="24"/>
                <w:color w:val="auto"/>
              </w:rPr>
            </w:pPr>
          </w:p>
        </w:tc>
        <w:tc>
          <w:tcPr>
            <w:tcW w:w="2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41,216</w:t>
            </w:r>
          </w:p>
        </w:tc>
        <w:tc>
          <w:tcPr>
            <w:tcW w:w="5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3"/>
        </w:trPr>
        <w:tc>
          <w:tcPr>
            <w:tcW w:w="400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9"/>
        </w:trPr>
        <w:tc>
          <w:tcPr>
            <w:tcW w:w="40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-788035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-770890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97" w:right="2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right="40" w:firstLine="569"/>
        <w:spacing w:after="0" w:line="282" w:lineRule="auto"/>
        <w:rPr>
          <w:sz w:val="20"/>
          <w:szCs w:val="20"/>
          <w:color w:val="auto"/>
        </w:rPr>
      </w:pPr>
      <w:r>
        <w:rPr>
          <w:rFonts w:ascii="Times New Roman" w:cs="Times New Roman" w:eastAsia="Times New Roman" w:hAnsi="Times New Roman"/>
          <w:sz w:val="18"/>
          <w:szCs w:val="18"/>
          <w:color w:val="auto"/>
        </w:rPr>
        <w:t>The allocation of stock-based compensation for all options and restricted stock units and stock issued pursuant to our employee stock purchase plan is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60" w:type="dxa"/>
            <w:vAlign w:val="bottom"/>
          </w:tcPr>
          <w:p>
            <w:pPr>
              <w:spacing w:after="0"/>
              <w:rPr>
                <w:sz w:val="21"/>
                <w:szCs w:val="21"/>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1"/>
        </w:trPr>
        <w:tc>
          <w:tcPr>
            <w:tcW w:w="466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340" w:type="dxa"/>
            <w:vAlign w:val="bottom"/>
            <w:gridSpan w:val="2"/>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20"/>
                <w:szCs w:val="20"/>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26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tcPr>
          <w:p>
            <w:pPr>
              <w:spacing w:after="0"/>
              <w:rPr>
                <w:sz w:val="21"/>
                <w:szCs w:val="21"/>
                <w:color w:val="auto"/>
              </w:rPr>
            </w:pPr>
          </w:p>
        </w:tc>
      </w:tr>
      <w:tr>
        <w:trPr>
          <w:trHeight w:val="277"/>
        </w:trPr>
        <w:tc>
          <w:tcPr>
            <w:tcW w:w="4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6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-25400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unaudited interim condensed consolidated financial statements and accompanying notes included in this Quarterly Report on Form 10-Q (Quarterly Report), our audited consolidated financial statements and accompanying notes thereto for the fiscal year ended December 31, 2023 and the related Management’s Discussion and Analysis of Financial Condition and Results of Operations, which are contained in our Annual Report on Form 10-K, filed with the Securities and Exchange Commission (SEC), on March 14, 2024 (2023 Annual Report).</w:t>
      </w:r>
    </w:p>
    <w:p>
      <w:pPr>
        <w:spacing w:after="0" w:line="183"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contains “forward-looking statements” within the meaning of Section 27A of the Securities Act of 1933, as amended, (the Securities Act), and Section 21E of the Securities Exchange Act of 1934, as amended (the Exchange Act). Such forward 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under Part II, Item 1A, and elsewhere in this Quarterly Report. Except as required by law we undertake no obligation to update these forward-looking statements to reflect events or circumstances after the date of this Quarterly Report or to reflect actual outcomes.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We are a clinical stage biotechnology company leveraging evolutionary intelligence to translate tRNA synthetase biology into new therapies for fibrosis and inflammation. tRNA synthetases are ancient, essential proteins that have evolved novel domains that regulate diverse pathways extracellularly in humans. Our discovery platform is focused on unlocking hidden therapeutic intervention points by uncovering signaling pathways driven by our proprietary library of domains derived from all 20 tRNA synthetases.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Efzofitimod</w:t>
      </w:r>
    </w:p>
    <w:p>
      <w:pPr>
        <w:spacing w:after="0" w:line="119"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Our lead therapeutic candidate is efzofitimod, a first-in-class biologic immunomodulator in clinical development for the treatment of interstitial lung disease (ILD), a group of immune-mediated disorders that can cause inflammation and fibrosis, or scarring, of the lungs. Efzofitimod is a tRNA synthetase derived therapy that selectively modulates activated myeloid cells through neuropilin-2 (NRP2) to resolve aberrant inflammation without immune suppression and potentially prevent the progression of fibrosis. ILDs are predominantly immune-mediated disorders that are characterized by chronic inflammation, which can lead to progressive fibrosis of the lung. There are limited treatment options for ILD and there remains a high unmet medical need. Sarcoidosis and systemic sclerosis (SSc, also known as scleroderma)-associated ILD (SSc-ILD) are two major forms of ILD. The U.S. Food and Drug Administration (FDA) has granted efzofitimod orphan drug designations for the treatment of sarcoidosis and for the treatment of SSc, and Fast Track designations for the treatment of pulmonary sarcoidosis and for the treatment of SSc-ILD. The European Commission (EC) has granted efzofitimod orphan drug designations for the treatment of sarcoidosis and for the treatment of SSc, based on the opinion of the European Medicines Agency (EMA) Committee for Orphan Medicinal Products (COMP).</w:t>
      </w:r>
    </w:p>
    <w:p>
      <w:pPr>
        <w:spacing w:after="0" w:line="194"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 xml:space="preserve">In September 2021, we announced positive results and clinical proof-of-concept from a double-blind, placebo-controlled Phase 1b/2a clinical trial in 37 patients with pulmonary sarcoidosis. The study was designed to evaluate the safety, tolerability, immunogenicity and preliminary efficacy of three doses of intravenous (IV) efzofitimod, 1.0, 3.0 and 5.0 mg/kg, in the context of a forced steroid taper. Efzofitimod was safe and well-tolerated at all doses administered with no serious drug-related adverse events or signal of immunogenicity. Additionally, the study demonstrated consistent dose response for efzofitimod on key efficacy endpoints and improvements compared to placebo, including measures of steroid reduction, lung function, pulmonary sarcoidosis symptom measures and inflammatory biomarkers. These data were subsequently presented at the American Thoracic Society (ATS) International Conference and published in the peer-reviewed journal </w:t>
      </w:r>
      <w:r>
        <w:rPr>
          <w:rFonts w:ascii="Times New Roman" w:cs="Times New Roman" w:eastAsia="Times New Roman" w:hAnsi="Times New Roman"/>
          <w:sz w:val="18"/>
          <w:szCs w:val="18"/>
          <w:i w:val="1"/>
          <w:iCs w:val="1"/>
          <w:color w:val="auto"/>
        </w:rPr>
        <w:t>CHEST</w:t>
      </w:r>
      <w:r>
        <w:rPr>
          <w:rFonts w:ascii="Times New Roman" w:cs="Times New Roman" w:eastAsia="Times New Roman" w:hAnsi="Times New Roman"/>
          <w:sz w:val="18"/>
          <w:szCs w:val="18"/>
          <w:color w:val="auto"/>
        </w:rPr>
        <w:t xml:space="preserve"> during 2022.</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6" w:name="page17"/>
    <w:bookmarkEnd w:id="16"/>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In February 2022, we met with the FDA in an end-of-Phase 2 meeting to discuss our plans for subsequent clinical development and path to registration for efzofitimod for pulmonary sarcoidosis. Subsequently, we initiated a global pivotal Phase 3 randomized, double-blind, placebo-controlled clinical trial to evaluate the efficacy and safety of efzofitimod in patients with pulmonary sarcoidosis (the EFZO-FIT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study). The EFZO-FIT study is a 52-week study consisting of three parallel cohorts randomized equally to either 3.0 mg/kg or 5.0 mg/kg of efzofitimod or placebo dosed intravenously once a month for a total of 12 doses. We expected the study to enroll up to 264 subjects with pulmonary sarcoidosis at multiple centers in the United States, Europe, Brazil, and Japan. The study design incorporates a forced steroid taper. The objective of the study is to evaluate the efficacy and safety of efzofitimod in patients with pulmonary sarcoidosis. The primary endpoint of the study is steroid reduction. Secondary endpoints include measures of lung function assessed by forced vital capacity (FVC) and health-related quality of life assessments and questionnaires (KSQ lung score). In September 2022, we dosed the first patient in the study. During 2023 and 2024, we have had data and safety monitoring board (DSMB) reviews of our EFZO-FIT study. The DSMB reviews concluded that the study could continue unmodified. In July 2024, we completed enrollment of 268 patients, exceeding target enrollment. Topline data from the study are anticipated in the third quarter of 2025.</w:t>
      </w:r>
    </w:p>
    <w:p>
      <w:pPr>
        <w:spacing w:after="0" w:line="201"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202720"/>
        </w:rPr>
        <w:t>In February 2024, we announced an Individual Patient Expanded Access Program (Individual Patient EAP). The Individual Patient EAP has been initiated based on blinded EFZO-FIT study investigator and patient participant feedback. The program is designed to allow access for patients who complete the Phase 3 EFZO-FIT study and wish to receive treatment with efzofitimod outside of the clinical trial. The administration of efzofitimod as part of the Individual Patient EAP will occur independent of the EFZO-FIT study protocol, and we, principal investigators and patients will remain blinded to the treatment that occurred as part of the EFZO-FIT study. As this Individual Patient EAP will occur independent of the EFZO-FIT study, this program is not an open-label extension (OLE) and no long-term data will be collected by us.</w:t>
      </w:r>
    </w:p>
    <w:p>
      <w:pPr>
        <w:spacing w:after="0" w:line="187"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18"/>
          <w:szCs w:val="18"/>
          <w:color w:val="auto"/>
        </w:rPr>
        <w:t>Based on the results of the Phase 1b/2a clinical trial, we believe efzofitimod has potential applications in the treatment of other ILDs, such as chronic hypersensitivity pneumonitis (CHP) and connective tissue disease related ILD (CTD-ILD), including SSc-ILD and rheumatoid arthritis-associated ILD. As such, we designed a focused Phase 2 proof-of-concept clinical trial of efzofitimod (the EFZO-CONNECT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study) in patients with SSc-ILD. The EFZO-CONNECT study is a randomized, double-blind placebo-controlled proof-of-concept study to evaluate the efficacy, safety and tolerability of efzofitimod in patients with SSc-ILD. This is a 28-week study with three parallel cohorts randomized 2:2:1 to either 270 mg or 450 mg of efzofitimod or placebo dosed intravenously monthly for a total of six doses. The study intends to enroll up to 25 patients at multiple centers in the United States. The objective of the study is to evaluate the efficacy of multiple doses of IV efzofitimod on pulmonary, cutaneous and systemic manifestations in patients with SSc-ILD. The primary endpoint is reduction in FVC. Secondary endpoints include certain measures regarding safety and tolerability. In July 2024, we amended the study to add an open label extension (OLE) to patients. Patients who complete the study and wish to receive ongoing treatment with efzofitimod are eligible to participate in the 24-week OLE. Based on current enrollment projections, we expect to report interim data from the study in the second quarter of 2025.</w:t>
      </w:r>
    </w:p>
    <w:p>
      <w:pPr>
        <w:spacing w:after="0" w:line="201"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In January 2020, we entered into a collaboration and license agreement (Kyorin Agreement) with Kyorin Pharmaceutical Co., Ltd. (Kyorin) for the development and commercialization of efzofitimod for the treatment of ILD in Japan. Under the Kyorin Agreement, Kyorin received an exclusive right to develop and commercialize efzofitimod in Japan for all forms of ILD, and is obligated to fund all research, development, regulatory, marketing and commercialization activities in Japan. In 2020, Kyorin conducted and funded a Phase 1 clinical trial of efzofitimod (known as KRP-R120 in Japan). The Phase 1 clinical trial was a placebo-controlled clinical trial to evaluate the safety, pharmacokinetics (PK) and immunogenicity of efzofitimod in 32 healthy Japanese male volunteers. Efzofitimod was observed to be generally well-tolerated with no drug-related serious adverse events, and PK findings were consistent with previous studies of efzofitimod. Kyorin is also participating in the EFZO-FIT study as the local sponsor in Japan. In February 2023, Kyorin dosed the first patient in Japan in the EFZO-FIT study which triggered a $10.0 million milestone payment to us. To date, the Kyorin Agreement has generated $20.0 million in upfront and milestone payments to us and we are eligible to receive up to an additional $155.0 million in the aggregate upon achievement of certain development, regulatory and sales milestones, as well as tiered royalties on any net sales in Japan.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Discovery Pipeline</w:t>
      </w:r>
    </w:p>
    <w:p>
      <w:pPr>
        <w:spacing w:after="0" w:line="119"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Using efzofitimod as a model, we have developed a process to advance novel tRNA synthetase domains from a concept to therapeutic candidate. This process leverages our early discovery work as well as current scientific understanding of tRNA synthetase evolution, protein structure, gene splicing and tissue-specific regulation to identify potentially active protein domains. Screening approaches are employed to identify target cells and extracellular receptors for these tRNA synthetase-derived proteins. These cellular systems can then be used in mechanism-of-action studies to elucidate the role these proteins play in cellular responses and their potential therapeutic utility. We are working to identify new tRNA synthetase based drug candidates through our internal discovery efforts and external collaboration efforts.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tRNA Synthetase Candidates</w:t>
      </w:r>
    </w:p>
    <w:p>
      <w:pPr>
        <w:spacing w:after="0" w:line="119" w:lineRule="exact"/>
        <w:rPr>
          <w:sz w:val="20"/>
          <w:szCs w:val="20"/>
          <w:color w:val="auto"/>
        </w:rPr>
      </w:pPr>
    </w:p>
    <w:p>
      <w:pPr>
        <w:jc w:val="both"/>
        <w:ind w:right="20" w:firstLine="562"/>
        <w:spacing w:after="0" w:line="261" w:lineRule="auto"/>
        <w:rPr>
          <w:sz w:val="20"/>
          <w:szCs w:val="20"/>
          <w:color w:val="auto"/>
        </w:rPr>
      </w:pPr>
      <w:r>
        <w:rPr>
          <w:rFonts w:ascii="Times New Roman" w:cs="Times New Roman" w:eastAsia="Times New Roman" w:hAnsi="Times New Roman"/>
          <w:sz w:val="18"/>
          <w:szCs w:val="18"/>
          <w:color w:val="auto"/>
        </w:rPr>
        <w:t>Utilizing our novel approach, we have identified target receptors for domains of two additional tRNA synthetases, gaining insights into their potential biological activity in immunology and fibrosis. These fragments form the basis of our additional pipeline candidates.</w:t>
      </w: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plan to further elucidate the therapeutic potential of these candidates through mechanistic investigations,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preclinical studies.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ATYR0101</w:t>
      </w:r>
    </w:p>
    <w:p>
      <w:pPr>
        <w:spacing w:after="0" w:line="117"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ATYR0101 is a fusion protein derived from a domain of aspartyl-tRNA synthetase (DARS). ATYR0101 binds directly to latent-transforming growth factor beta-binding protein 1 (LTBP1), which regulates transforming growth factor beta (TGFβ), which is at the apex of fibrotic signaling. Derived from a naturally occurring tRNA synthetase, ATYR0101 interacts with LTBP1 in a unique way that presents a differentiated approach to targeting fibrosis. Early data suggest ATYR0101 exerts its antifibrotic effects by inducing apoptosis of myofibroblasts in a TGFβ dependent manner. We believe ATYR0101 may have broad therapeutic applications in multiple fibrotic diseases, such as pulmonary fibrosis, SSc, liver fibrosis and kidney fibrosis.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u w:val="single" w:color="auto"/>
          <w:color w:val="auto"/>
        </w:rPr>
        <w:t>ATYR0750</w:t>
      </w:r>
    </w:p>
    <w:p>
      <w:pPr>
        <w:spacing w:after="0" w:line="117"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ATYR0750 is a fusion protein derived from a domain of alanyl-tRNA synthetase (AARS). ATYR0750 is a novel ligand to fibroblast growth factor receptor 4 (FGFR4), which is involved in many cellular processes, including cell proliferation, differentiation, and tissue repair. FGFR4 is known to play a role in diseases related to inflammation and fibrosis, particularly in the liver. As a novel ligand, ATYR0750 interacts with FGFR4 in a differentiated way to other approaches targeting the receptor, which may lead to improved therapeutic benefit.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Impact of Geopolitical and Macroeconomic Conditions</w:t>
      </w:r>
    </w:p>
    <w:p>
      <w:pPr>
        <w:spacing w:after="0" w:line="119"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global geopolitical tension, armed conflicts, potential future health pandemics, labor shortages, inflation and monetary supply shifts, liquidity concerns at, and failures of, banks and other financial institutions or other disruptions in the banking system or financing markets, higher interest rates and financial and credit market fluctuations, volatility in the capital markets and recession risks, which has resulted in further volatility in the U.S. and global financial markets and which has led to, and may continue to lead to, additional disruptions to trade, commerce, pricing stability, credit availability and supply chain continuity globally. The ultimate long-term impact of these evolving geopolitical and macroeconomic conditions on our business is uncertain, although we continue to actively monitor the impact of these factors on our results of operations, financial condition and cash flows. The extent of the impact of these factors on our operational and financial performance, including our 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We have incurred losses and negative cash flows from operations since our inception. As of June 30, 2024, we had an accumulated deficit of $499.8 million and we expect to continue to incur net losses for the foreseeable future. As of June 30, 2024, we had cash, cash equivalents, restricted cash and available-for-sale investments of $81.4 million. We believe that our current cash, cash equivalents, restricted cash and available-for-sale investments will be sufficient to meet our material cash requirements from known contractual and other obligations for a period of at least one year from the date of this Quarterly Report. In addition to the factors discussed under “Material Cash Requirements,” our ability to fund our longer-term operating needs will depend on our ability to raise additional funding through equity or debt offerings, grant funding, collaborations, strategic partnerships and/or licensing arrangements, and other factors, including those discussed in Part II, Item 1A. “Risk Factors – Risks related to our financial condition and need for additional capital – We will need to raise additional capital or enter into strategic partnering relationships to fund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2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From our inception through June 30, 2024, we have financed our operations primarily through the sale of equity securities and convertible debt, venture debt, term loans and through license and collaboration agreement revenues.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Public Offerings</w:t>
      </w:r>
    </w:p>
    <w:p>
      <w:pPr>
        <w:spacing w:after="0" w:line="119"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In February 2023, we completed an underwritten follow-on public offering of 23,125,000 shares of our common stock, including the partial exercise of the underwriters’ option to purchase additional shares, at a price to the public of $2.25 per share. The total net proceeds from the offering were approximately $48.1 million, after deducting underwriting discounts, commissions and offering expenses payable by us.</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At-the-Market Offering Programs</w:t>
      </w:r>
    </w:p>
    <w:p>
      <w:pPr>
        <w:spacing w:after="0" w:line="126" w:lineRule="exact"/>
        <w:rPr>
          <w:sz w:val="20"/>
          <w:szCs w:val="20"/>
          <w:color w:val="auto"/>
        </w:rPr>
      </w:pPr>
    </w:p>
    <w:p>
      <w:pPr>
        <w:jc w:val="both"/>
        <w:ind w:firstLine="569"/>
        <w:spacing w:after="0" w:line="234" w:lineRule="auto"/>
        <w:rPr>
          <w:sz w:val="20"/>
          <w:szCs w:val="20"/>
          <w:color w:val="auto"/>
        </w:rPr>
      </w:pPr>
      <w:r>
        <w:rPr>
          <w:rFonts w:ascii="Times New Roman" w:cs="Times New Roman" w:eastAsia="Times New Roman" w:hAnsi="Times New Roman"/>
          <w:sz w:val="18"/>
          <w:szCs w:val="18"/>
          <w:color w:val="auto"/>
        </w:rPr>
        <w:t>In April 2022,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with Jefferies LLC (Jefferies) implementing an “at-the-market” offering program (the Jefferies ATM Offering Program), pursuant to which we may offer and sell, from time to time and at our option, up to an aggregate of $65.0 million of shares of our common stock through Jefferies, acting as sales agent. Jefferies is entitled to a fixed</w:t>
      </w: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commission rate of up to 3.0% of the gross sales proceeds of shares sold under the Jefferies ATM Offering Program. During the year ended December 31, 2023, we sold an aggregate of 10,530,795 shares of common stock at a weighted-average price of $1.82 per share for net proceeds of approximately $18.4 million under the Jefferies ATM Offering Program. During the six months ended June 30, 2024, we sold an aggregate of 12,448,319 shares of common stock at a weighted-average price of $1.77 per share for net proceeds of approximately $21.3 million under the Jefferies ATM Offering Program.</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Kyorin Agreement Milestone Payments</w:t>
      </w:r>
    </w:p>
    <w:p>
      <w:pPr>
        <w:spacing w:after="0" w:line="119"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On February 6, 2023, we announced that our partner Kyorin dosed the first patient in Japan in the EFZO-FIT study, which triggered a $10.0 million milestone payment by Kyorin to us pursuant to the Kyorin Agreement. We recorded this $10.0 million milestone as revenue in the year ended December 31, 2022 and received the cash in February 2023. Kyorin is our partner for the development and commercialization of efzofitimod for ILD in Japan. Under the Kyorin Agreement, we have generated $20.0 million in upfront and milestone payments to date and are eligible to receive up to an additional $155.0 million in the aggregate upon the achievement of certain development, regulatory and sales milestones, as well as tiered royalties on any net sales in Japan. Kyorin has the exclusive rights to develop and commercialize efzofitimod in Japan for all forms of ILD.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sets forth a summary of the net cash flow activity for each of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00" w:type="dxa"/>
            <w:vAlign w:val="bottom"/>
          </w:tcPr>
          <w:p>
            <w:pPr>
              <w:spacing w:after="0"/>
              <w:rPr>
                <w:sz w:val="21"/>
                <w:szCs w:val="21"/>
                <w:color w:val="auto"/>
              </w:rPr>
            </w:pPr>
          </w:p>
        </w:tc>
        <w:tc>
          <w:tcPr>
            <w:tcW w:w="37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700" w:type="dxa"/>
            <w:vAlign w:val="bottom"/>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3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34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(42,829 )</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(12,600 )</w:t>
            </w:r>
          </w:p>
        </w:tc>
      </w:tr>
      <w:tr>
        <w:trPr>
          <w:trHeight w:val="247"/>
        </w:trPr>
        <w:tc>
          <w:tcPr>
            <w:tcW w:w="6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1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34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(42,328 )</w:t>
            </w:r>
          </w:p>
        </w:tc>
      </w:tr>
      <w:tr>
        <w:trPr>
          <w:trHeight w:val="24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1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21,130</w:t>
            </w:r>
          </w:p>
        </w:tc>
        <w:tc>
          <w:tcPr>
            <w:tcW w:w="34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57,514</w:t>
            </w:r>
          </w:p>
        </w:tc>
        <w:tc>
          <w:tcPr>
            <w:tcW w:w="100" w:type="dxa"/>
            <w:vAlign w:val="bottom"/>
          </w:tcPr>
          <w:p>
            <w:pPr>
              <w:spacing w:after="0"/>
              <w:rPr>
                <w:sz w:val="21"/>
                <w:szCs w:val="21"/>
                <w:color w:val="auto"/>
              </w:rPr>
            </w:pPr>
          </w:p>
        </w:tc>
      </w:tr>
      <w:tr>
        <w:trPr>
          <w:trHeight w:val="25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340" w:type="dxa"/>
            <w:vAlign w:val="bottom"/>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(16,327 )</w:t>
            </w:r>
          </w:p>
        </w:tc>
        <w:tc>
          <w:tcPr>
            <w:tcW w:w="132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00" w:type="dxa"/>
            <w:vAlign w:val="bottom"/>
            <w:shd w:val="clear" w:color="auto" w:fill="CFF0FC"/>
          </w:tcPr>
          <w:p>
            <w:pPr>
              <w:spacing w:after="0"/>
              <w:rPr>
                <w:sz w:val="22"/>
                <w:szCs w:val="22"/>
                <w:color w:val="auto"/>
              </w:rPr>
            </w:pPr>
          </w:p>
        </w:tc>
      </w:tr>
      <w:tr>
        <w:trPr>
          <w:trHeight w:val="20"/>
        </w:trPr>
        <w:tc>
          <w:tcPr>
            <w:tcW w:w="67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Net cash used in operating activities for the six months ended June 30, 2024 and 2023 was $42.8 million and $12.6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net cash used during the six months ended June 30, 2024 was primarily due to increased costs for the EFZO-FIT and EFZO-CONNECT studies and upfront payments for manufacturing efforts toward and preparation for a possible biologics license application (BLA) for efzofitimod. The net cash used during the six months ended June 30, 2023 was lower primarily due to the receipt of a $10.0 million milestone from the Kyorin Agreement and lower clinical trial costs for the EFZO-FIT and EFZO-CONNECT studies.</w:t>
      </w:r>
    </w:p>
    <w:p>
      <w:pPr>
        <w:spacing w:after="0" w:line="183"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Net cash provided by (used in) investing activities for the six months ended June 30, 2024 and 2023 was $5.4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$(42.3) million, respectively. The fluctuation in net cash provided by or used in investing activities resulted primarily from the timing differences in investment purchases, sales and maturities, and the fluctuation of our portfolio mix between cash equivalents and investment holdings. The average term to maturity in our investment portfolio is less than one year.</w:t>
      </w:r>
    </w:p>
    <w:p>
      <w:pPr>
        <w:spacing w:after="0" w:line="180"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provided by financing activities for the six months ended June 30, 2024 and 2023 was $21.1 million and $57.5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Net cash provided by financing activities for the six months ended June 30, 2024 consisted primarily of $21.3 million in net proceeds from the issuance of common stock through the Jefferies ATM Offering Program. Net cash provided by financing activities for the six months ended June 30, 2023 consisted primarily of $48.1 million in net proceeds from the underwritten follow-on public offering and $9.5 million in net proceeds from the issuance of common stock through the Jefferies ATM Offering Program, net of offering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To date, we have not generated any revenues from product sales. We expect our expenses to increase in connection with our ongoing activities, particularly as we continue to advance efzofitimod in clinical development, manufacturing and technology transfer activities, continue our research and development activities with respect to other potential therapies based on tRNA synthetase biology and seek marketing approval for product candidates that we may develop. In addition, if we obtain marketing approval for any of our product candidates, we expect to incur significant commercialization expenses related to product sales, marketing, manufacturing and distribution. We currently have no sales or marketing capabilities and would need to expand our organization to support these activities. Accordingly, we will need to obtain substantial additional funding in connection with our continuing operations. Our forecast of the period of time through which our financial resources will be adequate to support our operations is a forward-looking statement that involves risks and uncertainties, and actual results could vary materially.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9" w:name="page20"/>
    <w:bookmarkEnd w:id="19"/>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Our future capital requirements are difficult to forecast and will depend on many factors. Refer to Part II, Item 1A, "Risk Factors – Risks related to our financial condition and need for additional capital – We will need to raise additional capital or enter into strategic partnering relationships to fund our operations.” for a discussion of these factors.</w:t>
      </w:r>
    </w:p>
    <w:p>
      <w:pPr>
        <w:spacing w:after="0" w:line="176"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grant funding, collaborations, strategic partnerships and/or licensing arrangements, and when we are closer to commercialization of our product candidates potentially through debt financings. To the extent we raise additional capital through the sale of equity, the ownership interest of our stockholders will be diluted, and the terms of these securities may include liquidation or other preferences that adversely affect the rights of our common stockholders. If we raise additional funds through collaborations, strategic partnerships or licensing arrangements with third parties, we may have to relinquish valuable rights to our product candidates, our other technologies, future revenue streams or research programs or grant licenses on terms that may not be favorable to us. The incurrence of additional indebtedness would increase our fixed payment obligations and may require us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may be unable to raise additional funds on acceptable terms or at all. If the equity and credit markets deteriorate, it may make any necessary debt or equity financing more difficult, more costly and more dilutive. If we are unable to raise additional funds,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87"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As of June 30, 2024, our material cash requirements from known contractual and other obligations consisted primarily of (i) an operating lease for our corporate headquarters, and (ii) our master financing lease agreement for various research and development and informational technology equipment.</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Corporate Headquarters Facility Lease</w:t>
      </w:r>
    </w:p>
    <w:p>
      <w:pPr>
        <w:spacing w:after="0" w:line="119"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In May 2022, we entered into a lease (the Lease) with San Diego Creekside, LLC (Landlord), as lessor, pursuant to which we agreed to lease from Landlord approximately 23,696 rentable square feet (subject to increase pursuant to the terms of the Lease) of office and laboratory space. The term of the lease (the Lease Term) commenced on March 20, 2023 (the Lease Commencement Date) and will continue for 124 months from the Lease Commencement Date. We also have one option to extend the Lease Term for five years. Base rent during such extension period would be at the fair market rent for the Premises (as that term is defined in the Lease). Under the terms of the Lease, the base rent during the first 12 months of the Lease Term was $5.75 per square foot of rentable area per month, and the base rent following the first 12 months of the Lease Term is subject to certain upward adjustments of approximately 3.0% annually. As of June 30, 2024, we received $5.3 million in allowance payments for tenant improvements, which represents the full allowance to which we were entitled under the Lease. We provided a $0.7 million security deposit in the form of a letter of credit which is included in restricted cash as of June 30, 2024. During the second quarter of 2023, additional common area amenities were completed by the Landlord which provided us with access to an estimated 1,500 additional rentable square feet. In April 2024, we finalized an amendment to the Lease (the Lease Amendment), effective June 2023. The additional rentable square feet was adjusted to 1,170 square feet for a total of 24,866 rentable square feet and our base rent increased for this additional rentable square feet at the same monthly base rent per rentable square foot as contemplated in the Lease.</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Financing Lease</w:t>
      </w:r>
    </w:p>
    <w:p>
      <w:pPr>
        <w:spacing w:after="0" w:line="119" w:lineRule="exact"/>
        <w:rPr>
          <w:sz w:val="20"/>
          <w:szCs w:val="20"/>
          <w:color w:val="auto"/>
        </w:rPr>
      </w:pPr>
    </w:p>
    <w:p>
      <w:pPr>
        <w:jc w:val="both"/>
        <w:ind w:right="20" w:firstLine="569"/>
        <w:spacing w:after="0" w:line="266" w:lineRule="auto"/>
        <w:rPr>
          <w:sz w:val="20"/>
          <w:szCs w:val="20"/>
          <w:color w:val="auto"/>
        </w:rPr>
      </w:pPr>
      <w:r>
        <w:rPr>
          <w:rFonts w:ascii="Times New Roman" w:cs="Times New Roman" w:eastAsia="Times New Roman" w:hAnsi="Times New Roman"/>
          <w:sz w:val="18"/>
          <w:szCs w:val="18"/>
          <w:color w:val="auto"/>
        </w:rPr>
        <w:t>In April 2022, we entered into a master financing lease to lease various research and development and information technology equipment over a 48-month term. Financing lease liabilities totaled $1.7 million as of June 30, 2024. Additionally, as of June 30, 2024, we have $2.2 million in cash collateral for the financing lease, and this amount is included in restricted cash.</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June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 Principles of Consolidation</w:t>
      </w:r>
    </w:p>
    <w:p>
      <w:pPr>
        <w:spacing w:after="0" w:line="12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We conduct substantially all of our activities through aTyr Pharma, Inc., a Delaware corporation, at our facility in San Diego, California. aTyr Pharma, Inc. was incorporated in the State of Delaware in September 2005. The unaudited interim condensed consolidated financial statements in this Quarterly Report include our accounts and our 98% majority-owned subsidiary in Hong Kong, Pangu BioPharma, as of June 30, 2024. All intercompany transactions and balances are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62"/>
        <w:spacing w:after="0" w:line="257" w:lineRule="auto"/>
        <w:rPr>
          <w:sz w:val="20"/>
          <w:szCs w:val="20"/>
          <w:color w:val="auto"/>
        </w:rPr>
      </w:pPr>
      <w:r>
        <w:rPr>
          <w:rFonts w:ascii="Times New Roman" w:cs="Times New Roman" w:eastAsia="Times New Roman" w:hAnsi="Times New Roman"/>
          <w:sz w:val="18"/>
          <w:szCs w:val="18"/>
          <w:color w:val="auto"/>
        </w:rPr>
        <w:t>In January 2020, we entered into the Kyorin Agreement with Kyorin for the development and commercialization of efzofitimod for the treatment of ILD in Japan. Under the Kyorin Agreement, Kyorin received an exclusive right to develop and commercialize efzofitimod in Japan for all forms of ILD, and Kyorin is obligated to fund all research, development, regulatory, marketing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commercialization activities in Japan. The Phase 1 clinical trial, which was conducted and funded by Kyorin, was a placebo-controlled clinical trial to evaluate the safety, PK and immunogenicity of efzofitimod in 32 healthy Japanese male volunteers. Efzofitimod was observed to be generally well-tolerated with no drug-related serious adverse events and PK findings were consistent with previous studies of efzofitimod. Kyorin is also participating in the EFZO-FIT study as the local sponsor in Japan. In February 2023, Kyorin dosed the first patient in Japan in the EFZO-FIT study which triggered a $10.0 million milestone payment to us. To date, the Kyorin Agreement has generated $20.0 million in upfront and milestone payments to us and we are eligible to receive up to an additional $155.0 million in the aggregate upon achievement of certain development, regulatory and sales milestones, as well as tiered royalties on any net sales in Japan.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To date, our research and development expenses have related primarily to the development of, and clinical trials for, our product candidates, and to research efforts for potential therapeutics based on tRNA synthetase biology. These expenses consist primarily of:</w:t>
      </w:r>
    </w:p>
    <w:p>
      <w:pPr>
        <w:spacing w:after="0" w:line="54" w:lineRule="exact"/>
        <w:rPr>
          <w:sz w:val="20"/>
          <w:szCs w:val="20"/>
          <w:color w:val="auto"/>
        </w:rPr>
      </w:pPr>
    </w:p>
    <w:p>
      <w:pPr>
        <w:ind w:left="960" w:hanging="38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employee-related expenses, including stock-based compensation and benefits for personnel in research and product development functions;</w:t>
      </w:r>
    </w:p>
    <w:p>
      <w:pPr>
        <w:spacing w:after="0" w:line="53" w:lineRule="exact"/>
        <w:rPr>
          <w:rFonts w:ascii="Times New Roman" w:cs="Times New Roman" w:eastAsia="Times New Roman" w:hAnsi="Times New Roman"/>
          <w:sz w:val="18"/>
          <w:szCs w:val="18"/>
          <w:color w:val="auto"/>
        </w:rPr>
      </w:pPr>
    </w:p>
    <w:p>
      <w:pPr>
        <w:ind w:left="960" w:right="20" w:hanging="38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conducting our preclinical, development and regulatory activities, including fees paid to third-party professional consultants, service providers and our scientific, therapeutic and clinical advisory board;</w:t>
      </w:r>
    </w:p>
    <w:p>
      <w:pPr>
        <w:spacing w:after="0" w:line="53" w:lineRule="exact"/>
        <w:rPr>
          <w:rFonts w:ascii="Times New Roman" w:cs="Times New Roman" w:eastAsia="Times New Roman" w:hAnsi="Times New Roman"/>
          <w:sz w:val="18"/>
          <w:szCs w:val="18"/>
          <w:color w:val="auto"/>
        </w:rPr>
      </w:pPr>
    </w:p>
    <w:p>
      <w:pPr>
        <w:ind w:left="960" w:hanging="383"/>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preclinical study and clinical trial materials with contracted development and manufacturing organizations (CDMOs);</w:t>
      </w:r>
    </w:p>
    <w:p>
      <w:pPr>
        <w:spacing w:after="0" w:line="53"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under clinical trial agreements with contract research organizations (CROs) and investigative sites;</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laboratory supplies; and</w:t>
      </w:r>
    </w:p>
    <w:p>
      <w:pPr>
        <w:spacing w:after="0" w:line="117" w:lineRule="exact"/>
        <w:rPr>
          <w:rFonts w:ascii="Times New Roman" w:cs="Times New Roman" w:eastAsia="Times New Roman" w:hAnsi="Times New Roman"/>
          <w:sz w:val="18"/>
          <w:szCs w:val="18"/>
          <w:color w:val="auto"/>
        </w:rPr>
      </w:pPr>
    </w:p>
    <w:p>
      <w:pPr>
        <w:ind w:left="960" w:hanging="383"/>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facilities, depreciation and other allocable expenses.</w:t>
      </w:r>
    </w:p>
    <w:p>
      <w:pPr>
        <w:spacing w:after="0" w:line="225"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Product candidates in later stages of clinical development, such as efzofitimod, generally have higher development costs than those in earlier stages of clinical development, primarily due to the increased size and duration of later-stage clinical trials. We primarily outsource our clinical trial administration to CROs, and we outsource our manufacturing of clinical trial materials to CDMOs. These outsourced expenses are typically substantially higher than the expenses we incur on our other product candidates which are all currently in preclinical development. As such, we separately track and report on the majority of our research and development expenses associated with the advancement of efzofitimod. For our candidates in preclinical development, the nature of the research and development expenses incurred to advance these candidates is primarily internal personnel and laboratory supply expenses. We do not fully track or allocate these internal expenses between preclinical product candidates because the expenses can often be shared between candidates. We also incur other shared expenses to support our research and development efforts such as facilities expenses, and these expenses are not allocated to efzofitimod or our preclinical product candidates. Additionally, non-cash research and development expenses such as depreciation and stock-based compensation are not tracked or allocated between product candidates and are shared among all product candidates.</w:t>
      </w:r>
    </w:p>
    <w:p>
      <w:pPr>
        <w:spacing w:after="0" w:line="194"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We expect that the levels of our research and development expenses will continue to increase in future years and will consist primarily of costs related to our clinical development and manufacturing of efzofitimod for patients with pulmonary sarcoidosis and SSc-ILD, and other potential therapeutics based on tRNA synthetase biology. At this time, due to the inherently unpredictable nature of preclinical and clinical development and given the early stage of our programs, we are unable to estimate with any certainty the costs we will incur or the timelines we will require in the continued development of our product candidates.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In addition, we cannot forecast which programs or product candidates may be subject to future collaborations, when such arrangements will be secured, if at all, and to what degree such arrangements would affect our development plans and capital requirements.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employees in executive, finance and administration, corporate development and administrative support functions, including stock-based compensation expenses and benefits. Other significant general and administrative expenses include accounting, legal services, expenses associated with applying for and maintaining patents, cost of insurance, cost of various consultants, occupancy costs, information systems costs and depreciation.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unaudited interim condensed consolidated financial statements, which have been prepared in accordance with accounting principles generally accepted in the United States. The preparation of these unaudited interim condensed consolidated financial statements requires us to make estimates and assumptions that affect the reported amounts of assets and liabilities and the disclosure of contingent assets and liabilities as of the date of the unaudited interim condensed consolidated financial statements, as well as the reported expenses during the reporting periods. We monitor and analyze these items for changes in facts and circumstances, and material changes in these estimates could occur in the future. We base our estimates on our historical experience and on various other factors we believe to be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w:t>
      </w:r>
    </w:p>
    <w:p>
      <w:pPr>
        <w:spacing w:after="0" w:line="188"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We discuss our accounting policies and assumptions that involve a higher degree of judgment and complexity within Note 2 to our audited consolidated financial statements in our 2023 Annual Report. There have been no material changes to our critical accounting policies and estimates as disclosed in our 2023 Annual Report.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2024 and 2023</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2024 and 2023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440" w:type="dxa"/>
            <w:vAlign w:val="bottom"/>
          </w:tcPr>
          <w:p>
            <w:pPr>
              <w:spacing w:after="0"/>
              <w:rPr>
                <w:sz w:val="21"/>
                <w:szCs w:val="21"/>
                <w:color w:val="auto"/>
              </w:rPr>
            </w:pPr>
          </w:p>
        </w:tc>
        <w:tc>
          <w:tcPr>
            <w:tcW w:w="318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54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Increase /</w:t>
            </w:r>
          </w:p>
        </w:tc>
      </w:tr>
      <w:tr>
        <w:trPr>
          <w:trHeight w:val="232"/>
        </w:trPr>
        <w:tc>
          <w:tcPr>
            <w:tcW w:w="5440" w:type="dxa"/>
            <w:vAlign w:val="bottom"/>
          </w:tcPr>
          <w:p>
            <w:pPr>
              <w:spacing w:after="0"/>
              <w:rPr>
                <w:sz w:val="20"/>
                <w:szCs w:val="20"/>
                <w:color w:val="auto"/>
              </w:rPr>
            </w:pPr>
          </w:p>
        </w:tc>
        <w:tc>
          <w:tcPr>
            <w:tcW w:w="1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34"/>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Efzofitimod expenses</w:t>
            </w:r>
          </w:p>
        </w:tc>
        <w:tc>
          <w:tcPr>
            <w:tcW w:w="114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11,335</w:t>
            </w:r>
          </w:p>
        </w:tc>
        <w:tc>
          <w:tcPr>
            <w:tcW w:w="1460" w:type="dxa"/>
            <w:vAlign w:val="bottom"/>
            <w:gridSpan w:val="2"/>
            <w:shd w:val="clear" w:color="auto" w:fill="CFF0FC"/>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100" w:type="dxa"/>
            <w:vAlign w:val="bottom"/>
            <w:shd w:val="clear" w:color="auto" w:fill="CFF0FC"/>
          </w:tcPr>
          <w:p>
            <w:pPr>
              <w:spacing w:after="0"/>
              <w:rPr>
                <w:sz w:val="21"/>
                <w:szCs w:val="21"/>
                <w:color w:val="auto"/>
              </w:rPr>
            </w:pPr>
          </w:p>
        </w:tc>
      </w:tr>
      <w:tr>
        <w:trPr>
          <w:trHeight w:val="211"/>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Preclinical development and other shared research and development</w:t>
            </w: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(403 )</w:t>
            </w:r>
          </w:p>
        </w:tc>
      </w:tr>
      <w:tr>
        <w:trPr>
          <w:trHeight w:val="250"/>
        </w:trPr>
        <w:tc>
          <w:tcPr>
            <w:tcW w:w="5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expenses (depreciation and stock-based compensation)</w:t>
            </w:r>
          </w:p>
        </w:tc>
        <w:tc>
          <w:tcPr>
            <w:tcW w:w="11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100" w:type="dxa"/>
            <w:vAlign w:val="bottom"/>
          </w:tcPr>
          <w:p>
            <w:pPr>
              <w:spacing w:after="0"/>
              <w:rPr>
                <w:sz w:val="20"/>
                <w:szCs w:val="20"/>
                <w:color w:val="auto"/>
              </w:rPr>
            </w:pPr>
          </w:p>
        </w:tc>
      </w:tr>
      <w:tr>
        <w:trPr>
          <w:trHeight w:val="247"/>
        </w:trPr>
        <w:tc>
          <w:tcPr>
            <w:tcW w:w="54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4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expenses (depreciation and stock-based compensation)</w:t>
            </w:r>
          </w:p>
        </w:tc>
        <w:tc>
          <w:tcPr>
            <w:tcW w:w="1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21"/>
                <w:szCs w:val="21"/>
                <w:color w:val="auto"/>
              </w:rPr>
            </w:pPr>
          </w:p>
        </w:tc>
      </w:tr>
      <w:tr>
        <w:trPr>
          <w:trHeight w:val="243"/>
        </w:trPr>
        <w:tc>
          <w:tcPr>
            <w:tcW w:w="5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(433 )</w:t>
            </w:r>
          </w:p>
        </w:tc>
      </w:tr>
      <w:tr>
        <w:trPr>
          <w:trHeight w:val="20"/>
        </w:trPr>
        <w:tc>
          <w:tcPr>
            <w:tcW w:w="5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1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(376 )</w:t>
            </w:r>
          </w:p>
        </w:tc>
      </w:tr>
      <w:tr>
        <w:trPr>
          <w:trHeight w:val="243"/>
        </w:trPr>
        <w:tc>
          <w:tcPr>
            <w:tcW w:w="5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3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-1250950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-1250950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ind w:firstLine="56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$14.0 million and $9.8 million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2023, respectively. The increase of $4.1 million was primarily attributable to an increase of $4.5 million in efzofitimod expenses, which was primarily due to the advancement of the EFZO-FIT study in patient enrollment activity as well as increased manufacturing efforts for preparation toward a possible BLA for efzofitimod. Preclinical development and other shared research and development expenses decreased by $0.4 million, and this decrease was primarily attributable to reduced discovery costs for our preclinical product candidates. Non-cash expenses were relatively consistent at $0.3 million in each period.</w:t>
      </w:r>
    </w:p>
    <w:p>
      <w:pPr>
        <w:spacing w:after="0" w:line="182"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$3.3 million and $3.7 million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2023, respectively. The decrease of $0.4 million was attributable to reduced facilities costs as we fully transitioned into our corporate headquarters facility in March 2023 as well as reduced costs of insurance. Non-cash expenses were relatively consistent at $0.6 million and $0.5 million for the three months ended June 30, 2024 and 2023, respectively.</w:t>
      </w:r>
    </w:p>
    <w:p>
      <w:pPr>
        <w:spacing w:after="0" w:line="126" w:lineRule="exact"/>
        <w:rPr>
          <w:sz w:val="20"/>
          <w:szCs w:val="20"/>
          <w:color w:val="auto"/>
        </w:rPr>
      </w:pPr>
    </w:p>
    <w:p>
      <w:pPr>
        <w:jc w:val="both"/>
        <w:ind w:right="20" w:firstLine="56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$1.0 million and $1.2 million for the three months ended June 30, 2024 and 2023,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was primarily a result of lower cash balance as compared to the same period in the prior year.</w:t>
      </w: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9400" w:type="dxa"/>
            <w:vAlign w:val="bottom"/>
            <w:gridSpan w:val="7"/>
          </w:tcPr>
          <w:p>
            <w:pPr>
              <w:ind w:left="580"/>
              <w:spacing w:after="0"/>
              <w:rPr>
                <w:sz w:val="20"/>
                <w:szCs w:val="20"/>
                <w:color w:val="auto"/>
              </w:rPr>
            </w:pPr>
            <w:r>
              <w:rPr>
                <w:rFonts w:ascii="Times New Roman" w:cs="Times New Roman" w:eastAsia="Times New Roman" w:hAnsi="Times New Roman"/>
                <w:sz w:val="18"/>
                <w:szCs w:val="18"/>
                <w:color w:val="auto"/>
                <w:w w:val="99"/>
              </w:rPr>
              <w:t>The following table summarizes our results of operations for the six months ended June 30, 2024 and 2023 (in thousands):</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5240" w:type="dxa"/>
            <w:vAlign w:val="bottom"/>
          </w:tcPr>
          <w:p>
            <w:pPr>
              <w:spacing w:after="0"/>
              <w:rPr>
                <w:sz w:val="24"/>
                <w:szCs w:val="24"/>
                <w:color w:val="auto"/>
              </w:rPr>
            </w:pPr>
          </w:p>
        </w:tc>
        <w:tc>
          <w:tcPr>
            <w:tcW w:w="32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Increase /</w:t>
            </w:r>
          </w:p>
        </w:tc>
      </w:tr>
      <w:tr>
        <w:trPr>
          <w:trHeight w:val="234"/>
        </w:trPr>
        <w:tc>
          <w:tcPr>
            <w:tcW w:w="5240" w:type="dxa"/>
            <w:vAlign w:val="bottom"/>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00" w:type="dxa"/>
            <w:vAlign w:val="bottom"/>
          </w:tcPr>
          <w:p>
            <w:pPr>
              <w:spacing w:after="0"/>
              <w:rPr>
                <w:sz w:val="20"/>
                <w:szCs w:val="20"/>
                <w:color w:val="auto"/>
              </w:rPr>
            </w:pPr>
          </w:p>
        </w:tc>
      </w:tr>
      <w:tr>
        <w:trPr>
          <w:trHeight w:val="239"/>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License and collaboration agreement revenues</w:t>
            </w:r>
          </w:p>
        </w:tc>
        <w:tc>
          <w:tcPr>
            <w:tcW w:w="118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8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20"/>
                <w:szCs w:val="20"/>
                <w:color w:val="auto"/>
              </w:rPr>
            </w:pP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Efzofitimod expenses</w:t>
            </w:r>
          </w:p>
        </w:tc>
        <w:tc>
          <w:tcPr>
            <w:tcW w:w="1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22,299</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13,212</w:t>
            </w:r>
          </w:p>
        </w:tc>
        <w:tc>
          <w:tcPr>
            <w:tcW w:w="30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9,087</w:t>
            </w:r>
          </w:p>
        </w:tc>
        <w:tc>
          <w:tcPr>
            <w:tcW w:w="100" w:type="dxa"/>
            <w:vAlign w:val="bottom"/>
            <w:shd w:val="clear" w:color="auto" w:fill="CFF0FC"/>
          </w:tcPr>
          <w:p>
            <w:pPr>
              <w:spacing w:after="0"/>
              <w:rPr>
                <w:sz w:val="21"/>
                <w:szCs w:val="21"/>
                <w:color w:val="auto"/>
              </w:rPr>
            </w:pPr>
          </w:p>
        </w:tc>
      </w:tr>
      <w:tr>
        <w:trPr>
          <w:trHeight w:val="211"/>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Preclinical development and other shared research and development</w:t>
            </w: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(1,123 )</w:t>
            </w:r>
          </w:p>
        </w:tc>
      </w:tr>
      <w:tr>
        <w:trPr>
          <w:trHeight w:val="250"/>
        </w:trPr>
        <w:tc>
          <w:tcPr>
            <w:tcW w:w="5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expenses (depreciation and stock-based compensation)</w:t>
            </w:r>
          </w:p>
        </w:tc>
        <w:tc>
          <w:tcPr>
            <w:tcW w:w="11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300" w:type="dxa"/>
            <w:vAlign w:val="bottom"/>
            <w:tcBorders>
              <w:bottom w:val="single" w:sz="8" w:color="CFF0FC"/>
              <w:right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19,219</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8,118</w:t>
            </w:r>
          </w:p>
        </w:tc>
        <w:tc>
          <w:tcPr>
            <w:tcW w:w="100" w:type="dxa"/>
            <w:vAlign w:val="bottom"/>
          </w:tcPr>
          <w:p>
            <w:pPr>
              <w:spacing w:after="0"/>
              <w:rPr>
                <w:sz w:val="20"/>
                <w:szCs w:val="20"/>
                <w:color w:val="auto"/>
              </w:rPr>
            </w:pPr>
          </w:p>
        </w:tc>
      </w:tr>
      <w:tr>
        <w:trPr>
          <w:trHeight w:val="247"/>
        </w:trPr>
        <w:tc>
          <w:tcPr>
            <w:tcW w:w="5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expenses (depreciation and stock-based compensation)</w:t>
            </w:r>
          </w:p>
        </w:tc>
        <w:tc>
          <w:tcPr>
            <w:tcW w:w="1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30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FF0FC"/>
          </w:tcPr>
          <w:p>
            <w:pPr>
              <w:spacing w:after="0"/>
              <w:rPr>
                <w:sz w:val="21"/>
                <w:szCs w:val="21"/>
                <w:color w:val="auto"/>
              </w:rPr>
            </w:pPr>
          </w:p>
        </w:tc>
      </w:tr>
      <w:tr>
        <w:trPr>
          <w:trHeight w:val="243"/>
        </w:trPr>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(426 )</w:t>
            </w:r>
          </w:p>
        </w:tc>
      </w:tr>
      <w:tr>
        <w:trPr>
          <w:trHeight w:val="20"/>
        </w:trPr>
        <w:tc>
          <w:tcPr>
            <w:tcW w:w="5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1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6,849</w:t>
            </w: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300" w:type="dxa"/>
            <w:vAlign w:val="bottom"/>
            <w:tcBorders>
              <w:right w:val="single" w:sz="8" w:color="CFF0FC"/>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(277 )</w:t>
            </w:r>
          </w:p>
        </w:tc>
      </w:tr>
      <w:tr>
        <w:trPr>
          <w:trHeight w:val="243"/>
        </w:trPr>
        <w:tc>
          <w:tcPr>
            <w:tcW w:w="5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300" w:type="dxa"/>
            <w:vAlign w:val="bottom"/>
            <w:tcBorders>
              <w:right w:val="single" w:sz="8" w:color="CFF0FC"/>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-1250950</wp:posOffset>
            </wp:positionV>
            <wp:extent cx="768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-1250950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ind w:right="20" w:firstLine="562"/>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License and collaboration agreement revenues. </w:t>
      </w:r>
      <w:r>
        <w:rPr>
          <w:rFonts w:ascii="Times New Roman" w:cs="Times New Roman" w:eastAsia="Times New Roman" w:hAnsi="Times New Roman"/>
          <w:sz w:val="17"/>
          <w:szCs w:val="17"/>
          <w:color w:val="auto"/>
        </w:rPr>
        <w:t>Revenues of $0.2 million for the six months ended June 30, 2024 consisted of drug product material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sold to Kyorin for the Japan portion of the EFZO-FIT study. There were no activities that triggered revenues during the same period in the prior year.</w:t>
      </w:r>
    </w:p>
    <w:p>
      <w:pPr>
        <w:spacing w:after="0" w:line="135" w:lineRule="exact"/>
        <w:rPr>
          <w:sz w:val="20"/>
          <w:szCs w:val="20"/>
          <w:color w:val="auto"/>
        </w:rPr>
      </w:pPr>
    </w:p>
    <w:p>
      <w:pPr>
        <w:jc w:val="both"/>
        <w:ind w:firstLine="56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were $27.3 million and $19.2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2023, respectively. The increase of $8.1 million was due primarily to an increase of $9.1 million in efzofitimod expenses, which was primarily due to the advancement of the EFZO-FIT study in patient enrollment activity as well as increased manufacturing efforts for preparation toward a possible BLA for efzofitimod. Preclinical development and other shared research and development expenses decreased by $1.1 million, and this decrease was primarily attributable to reduced discovery costs for our preclinical product candidates. Non-cash expenses increased by $0.2 million primarily due to increased non-cash depreciation expense associated with tenant improvements to our corporate headquarters facility.</w:t>
      </w:r>
    </w:p>
    <w:p>
      <w:pPr>
        <w:spacing w:after="0" w:line="182" w:lineRule="exact"/>
        <w:rPr>
          <w:sz w:val="20"/>
          <w:szCs w:val="20"/>
          <w:color w:val="auto"/>
        </w:rPr>
      </w:pPr>
    </w:p>
    <w:p>
      <w:pPr>
        <w:jc w:val="both"/>
        <w:ind w:right="20" w:firstLine="56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were $6.8 million and $7.1 million for each of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and 2023, respectively. The decrease of $0.3 million was attributable to reduced facilities costs as we fully transitioned into our corporate headquarters facility in March 2023 as well as reduced costs of insurance. Non-cash expenses increased by $0.1 million primarily due to increased non-cash stock-based compensation expenses.</w:t>
      </w:r>
    </w:p>
    <w:p>
      <w:pPr>
        <w:spacing w:after="0" w:line="126" w:lineRule="exact"/>
        <w:rPr>
          <w:sz w:val="20"/>
          <w:szCs w:val="20"/>
          <w:color w:val="auto"/>
        </w:rPr>
      </w:pPr>
    </w:p>
    <w:p>
      <w:pPr>
        <w:jc w:val="both"/>
        <w:ind w:right="20" w:firstLine="56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was relatively consistent at $2.2 million and $2.1 million for the six months ended June 30,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For discussion of recently issued accounting pronouncements, refer to Part I, Item 1, Notes to Condensed Consolidated Financial Statements (Unaudited) – Note 1 – Recent Accounting Pronouncements of this Quarterly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the reports that we are required to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and in reaching a reasonable level of assurance, management necessarily is required to apply its judgment in evaluating the cost-benefit relationship of possible controls and procedures.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3" w:name="page24"/>
    <w:bookmarkEnd w:id="23"/>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quarter covered by this Quarterly Report. Based on this evaluation, our Principal Executive Officer and Principal Financial Officer concluded that our disclosure controls and procedures were effective at the reasonable assurance level as of the end of the quarter covered by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An evaluation was also performed under the supervision and with the participation of our management, including our Principal Executive Officer and Principal Financial Officer, of any changes to our internal control over financial reporting (as defined in Rules 13a-15(f) and 15d-15(f) under the Exchange Act) during the quarter covered by this Quarterly Report that have materially affected, or are reasonably likely to materially affect, our internal control over financial reporting. Our evaluation did not identify any changes in our internal control over financial reporting that occurred during the quarter covered by this Quarterly Report, that have materially affected, or are reasonably likely to materially affect, our internal control over financial reporting.</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results of operations or financial condition. Regardless of the outcome, litigation can have an adverse effect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Factors Summary</w:t>
      </w:r>
    </w:p>
    <w:p>
      <w:pPr>
        <w:spacing w:after="0" w:line="119"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securities speculative or risky. This summary does not address all of the risks that we face. Additional discussion of the risks summarized in this risk factor summary, and other risks that we face, can be found following this summary and should be carefully considered, together with other information in this Quarterly Report and our other filings with the SEC before making investment decisions regarding our securities.</w:t>
      </w:r>
    </w:p>
    <w:p>
      <w:pPr>
        <w:spacing w:after="0" w:line="182"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substantial risk. The risks described under the heading “Risk Factors” immediately following this summary may cause us to not realize the full benefits of our strengths or may cause us to be unable to successfully execute all or part of our strategy. Some of the more significant risks we face include the following:</w:t>
      </w:r>
    </w:p>
    <w:p>
      <w:pPr>
        <w:spacing w:after="0" w:line="68" w:lineRule="exact"/>
        <w:rPr>
          <w:sz w:val="20"/>
          <w:szCs w:val="20"/>
          <w:color w:val="auto"/>
        </w:rPr>
      </w:pPr>
    </w:p>
    <w:p>
      <w:pPr>
        <w:ind w:left="1320" w:right="20" w:hanging="369"/>
        <w:spacing w:after="0" w:line="282"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and other challenges in our ongoing or planned clinical trials or we may fail to demonstrate safety and efficacy to the satisfaction of applicable regulatory authorities;</w:t>
      </w:r>
    </w:p>
    <w:p>
      <w:pPr>
        <w:spacing w:after="0" w:line="53" w:lineRule="exact"/>
        <w:rPr>
          <w:rFonts w:ascii="Times New Roman" w:cs="Times New Roman" w:eastAsia="Times New Roman" w:hAnsi="Times New Roman"/>
          <w:sz w:val="18"/>
          <w:szCs w:val="18"/>
          <w:color w:val="auto"/>
        </w:rPr>
      </w:pPr>
    </w:p>
    <w:p>
      <w:pPr>
        <w:jc w:val="both"/>
        <w:ind w:left="1320" w:hanging="369"/>
        <w:spacing w:after="0" w:line="266"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complete or otherwise advance clinical development, obtain regulatory or marketing approval for, or successfully commercialize our therapeutic product candidates, including efzofitimod,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jc w:val="both"/>
        <w:ind w:left="1320" w:hanging="369"/>
        <w:spacing w:after="0" w:line="261"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established FDA regulatory pathway for approval of a drug in pulmonary sarcoidosis. As a result, our Phase 3 randomized, double-blind, placebo-controlled clinical trial to evaluate the efficacy and safety of efzofitimod in patients with pulmonary sarcoidosis (the EFZO-FIT study), even if successful, may not be sufficient to support FDA approval, which would materially and adversely harm our business;</w:t>
      </w:r>
    </w:p>
    <w:p>
      <w:pPr>
        <w:spacing w:after="0" w:line="71" w:lineRule="exact"/>
        <w:rPr>
          <w:rFonts w:ascii="Times New Roman" w:cs="Times New Roman" w:eastAsia="Times New Roman" w:hAnsi="Times New Roman"/>
          <w:sz w:val="18"/>
          <w:szCs w:val="18"/>
          <w:color w:val="auto"/>
        </w:rPr>
      </w:pPr>
    </w:p>
    <w:p>
      <w:pPr>
        <w:ind w:left="1320" w:hanging="369"/>
        <w:spacing w:after="0" w:line="282"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product candidates and any other product candidates that we may develop from our discovery platform represent novel therapeutic approaches, which may cause significant delays or may not result in any commercially viable drugs;</w:t>
      </w:r>
    </w:p>
    <w:p>
      <w:pPr>
        <w:spacing w:after="0" w:line="53" w:lineRule="exact"/>
        <w:rPr>
          <w:rFonts w:ascii="Times New Roman" w:cs="Times New Roman" w:eastAsia="Times New Roman" w:hAnsi="Times New Roman"/>
          <w:sz w:val="18"/>
          <w:szCs w:val="18"/>
          <w:color w:val="auto"/>
        </w:rPr>
      </w:pPr>
    </w:p>
    <w:p>
      <w:pPr>
        <w:jc w:val="both"/>
        <w:ind w:left="1320" w:hanging="369"/>
        <w:spacing w:after="0" w:line="266"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67"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or enter into strategic partnering relationships to fund our operations;</w:t>
      </w:r>
    </w:p>
    <w:p>
      <w:pPr>
        <w:spacing w:after="0" w:line="117" w:lineRule="exact"/>
        <w:rPr>
          <w:rFonts w:ascii="Times New Roman" w:cs="Times New Roman" w:eastAsia="Times New Roman" w:hAnsi="Times New Roman"/>
          <w:sz w:val="18"/>
          <w:szCs w:val="18"/>
          <w:color w:val="auto"/>
        </w:rPr>
      </w:pPr>
    </w:p>
    <w:p>
      <w:pPr>
        <w:ind w:left="1320" w:hanging="369"/>
        <w:spacing w:after="0" w:line="261"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pre-commercial biotherapeutics company and have incurred significant losses since our inception and anticipate that we will continue to incur significant losses for the foreseeable future;</w:t>
      </w: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jc w:val="both"/>
        <w:ind w:left="1320" w:hanging="369"/>
        <w:spacing w:after="0" w:line="266"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existing collaborations and may depend on collaborations with additional third parties for the development and commercialization of certain of our product candidates. If our collaborations are not successful, we may not be able to capitalize on the market potential of these product candidates;</w:t>
      </w:r>
    </w:p>
    <w:p>
      <w:pPr>
        <w:spacing w:after="0" w:line="67" w:lineRule="exact"/>
        <w:rPr>
          <w:rFonts w:ascii="Times New Roman" w:cs="Times New Roman" w:eastAsia="Times New Roman" w:hAnsi="Times New Roman"/>
          <w:sz w:val="18"/>
          <w:szCs w:val="18"/>
          <w:color w:val="auto"/>
        </w:rPr>
      </w:pPr>
    </w:p>
    <w:p>
      <w:pPr>
        <w:ind w:left="1320" w:hanging="369"/>
        <w:spacing w:after="0" w:line="282"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or protect intellectual property rights related to our product candidates, or if the scope of such intellectual property protection is not sufficiently broad, we may not be able to compete effectively in our markets;</w:t>
      </w:r>
    </w:p>
    <w:p>
      <w:pPr>
        <w:spacing w:after="0" w:line="53" w:lineRule="exact"/>
        <w:rPr>
          <w:rFonts w:ascii="Times New Roman" w:cs="Times New Roman" w:eastAsia="Times New Roman" w:hAnsi="Times New Roman"/>
          <w:sz w:val="18"/>
          <w:szCs w:val="18"/>
          <w:color w:val="auto"/>
        </w:rPr>
      </w:pPr>
    </w:p>
    <w:p>
      <w:pPr>
        <w:ind w:left="1320" w:right="180" w:hanging="369"/>
        <w:spacing w:after="0" w:line="282"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ability to retain key employees, consultants and advisors and to attract, retain and motivate qualified personnel;</w:t>
      </w:r>
    </w:p>
    <w:p>
      <w:pPr>
        <w:spacing w:after="0" w:line="53" w:lineRule="exact"/>
        <w:rPr>
          <w:rFonts w:ascii="Times New Roman" w:cs="Times New Roman" w:eastAsia="Times New Roman" w:hAnsi="Times New Roman"/>
          <w:sz w:val="18"/>
          <w:szCs w:val="18"/>
          <w:color w:val="auto"/>
        </w:rPr>
      </w:pPr>
    </w:p>
    <w:p>
      <w:pPr>
        <w:ind w:left="1320" w:hanging="369"/>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macroeconomic conditions could adversely affect our business, financial condition or results of operations; and</w:t>
      </w:r>
    </w:p>
    <w:p>
      <w:pPr>
        <w:spacing w:after="0" w:line="117" w:lineRule="exact"/>
        <w:rPr>
          <w:rFonts w:ascii="Times New Roman" w:cs="Times New Roman" w:eastAsia="Times New Roman" w:hAnsi="Times New Roman"/>
          <w:sz w:val="18"/>
          <w:szCs w:val="18"/>
          <w:color w:val="auto"/>
        </w:rPr>
      </w:pPr>
    </w:p>
    <w:p>
      <w:pPr>
        <w:ind w:left="1320" w:right="60" w:hanging="369"/>
        <w:spacing w:after="0" w:line="282"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historically has been highly volatile and is likely to continue to be volatile, and you could lose all or part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firstLine="562"/>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as well as the other information in this Quarterly Report and in our other public filings with the SEC. The occurrence of any of these risks could harm our business, financial condition, results of operations and/or growth prospects or cause our actual results to differ materially from those contained in forward-looking statements we have made in this Quarterly Report and those we may make from time to time. You should consider all of the risk factors described in our other public filings when evaluating our business. The risk factors set forth below that are marked with an asterisk (*) contain changes to the similarly titled risk factors included in, or did not appear as separate risk factors in, Item 1A of our Annual Report on Form 10-K for the year ended December 31, 2023 (Annual Report), which was filed with the SEC on March 14,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regulation of our product candidates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and other challenges in our ongoing or planned clinical trials or we may fail to demonstrate safety and efficacy to the satisfaction of applicable regulatory authorities.*</w:t>
      </w:r>
    </w:p>
    <w:p>
      <w:pPr>
        <w:spacing w:after="0" w:line="51"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Clinical trials are expensive, time-consuming, often delayed and uncertain as to outcome. We cannot guarantee that our ongoing clinical trials, including our EFZO-FIT study and our Phase 2 study in systemic sclerosis (SSc, also known as scleroderma) associated-interstitial lung disease (ILD) (SSc-ILD) (the EFZO-CONNECT study), or planned clinical trials will be initiated or conducted as planned or completed on schedule, if at all. We cannot assure you that our product candidates will not be subject to new clinical holds or significant delay in the future. For example, we may experience delays in site initiation and patient enrollment, failures to comply with study protocols, delays in the manufacture of study drug for clinical testing and other difficulties in starting or completing our clinical trials. Any inability to initiate or complete clinical trials of our product candidates in the United States, as a result of clinical holds or otherwise, would delay our clinical development plans, may require us to incur additional clinical development costs and could impair our ability to obtain U.S. regulatory approval for such product candidates.</w:t>
      </w:r>
    </w:p>
    <w:p>
      <w:pPr>
        <w:spacing w:after="0" w:line="148"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A failure of one or more clinical trials can occur at any stage of testing, and our clinical trials may not be successful. Events that may prevent successful or timely completion of clinical development include, but are not limited to:</w:t>
      </w:r>
    </w:p>
    <w:p>
      <w:pPr>
        <w:spacing w:after="0" w:line="52" w:lineRule="exact"/>
        <w:rPr>
          <w:sz w:val="20"/>
          <w:szCs w:val="20"/>
          <w:color w:val="auto"/>
        </w:rPr>
      </w:pPr>
    </w:p>
    <w:p>
      <w:pPr>
        <w:ind w:left="1260" w:right="20" w:hanging="368"/>
        <w:spacing w:after="0" w:line="284"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human clinical trials, including clinical trials of certain dosages;</w:t>
      </w:r>
    </w:p>
    <w:p>
      <w:pPr>
        <w:spacing w:after="0" w:line="52"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consensus with regulatory agencies on trial design, including the endpoints for our EFZO-FIT study, and prioritization of outcome measurements that would best support the evaluation of efzofitimod’s efficacy;</w:t>
      </w:r>
    </w:p>
    <w:p>
      <w:pPr>
        <w:spacing w:after="0" w:line="5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clinical contract research organizations (CROs) and clinical trial sites, including any delays resulting from changes in CROs;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required institutional review board or Ethics Committee approval at each clinical trial site;</w:t>
      </w:r>
    </w:p>
    <w:p>
      <w:pPr>
        <w:spacing w:after="0" w:line="117" w:lineRule="exact"/>
        <w:rPr>
          <w:rFonts w:ascii="Times New Roman" w:cs="Times New Roman" w:eastAsia="Times New Roman" w:hAnsi="Times New Roman"/>
          <w:sz w:val="18"/>
          <w:szCs w:val="18"/>
          <w:color w:val="auto"/>
        </w:rPr>
      </w:pPr>
    </w:p>
    <w:p>
      <w:pPr>
        <w:ind w:left="1260" w:right="20" w:hanging="368"/>
        <w:spacing w:after="0" w:line="282"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our clinical trials, or delays that may result if the number of patients required for a clinical trial is larger than we anticipate;</w:t>
      </w:r>
    </w:p>
    <w:p>
      <w:pPr>
        <w:spacing w:after="0" w:line="53"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agencies, which may occur at any time before or during a clinical trial, including after our submission of data to these agencies or an inspection of our clinical trial operations or trial sites;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investigators, other third parties or us to adhere to clinical trial requirements;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ind w:left="1260" w:hanging="368"/>
        <w:spacing w:after="0" w:line="282"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good clinical practices (GCPs) of the U.S. Food and Drug Administration (FDA) or applicable regulatory requirements in other countries;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clinical sites;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regulators regarding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a product candidate that are viewed to outweigh its potential benefits; or</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8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Any delay in or inability to successfully complete preclinical and clinical development (including any delays resulting from any changes in a CRO) could result in additional costs to us and impair our ability to generate revenue. In addition, if we make manufacturing or formulation changes to our product candidates (including our technology transfer to another contract development manufacturing organization (CDMO) for bulk drug substance and production capacity changes for efzofitimod), we will need to conduct additional comparability studies to bridge our modified product candidates to earlier versions, and the data generated from these comparability studies will need to be reviewed and accepted by the FDA or other regulatory authorities.</w:t>
      </w:r>
    </w:p>
    <w:p>
      <w:pPr>
        <w:spacing w:after="0" w:line="156"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If the results of our clinical trials are perceived to be negative or inconclusive, or if there are safety concerns or adverse events associated with our product candidates, we may be required to perform additional clinical trials to support approval or be subject to additional post-marketing testing requirements; be delayed in obtaining marketing approval for our product candidates, if at all; obtain approval for indications or patient populations that are not as broad as intended or desired; obtain approval with labeling that includes significant use or distribution restrictions or safety warnings; be subject to changes in the way the product is manufactured or administered; have regulatory authorities withdraw their approval of the product or impose restrictions on its distribution in the form of a modified risk evaluation and mitigation strategy; be subject to litigation; or experience damage to our reputation.</w:t>
      </w:r>
    </w:p>
    <w:p>
      <w:pPr>
        <w:spacing w:after="0" w:line="187"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To date, the safety and efficacy of efzofitimod has only been studied in a limited number of humans. Accordingly, efzofitimod and any future product candidates could potentially cause unexpected adverse events. In addition, the inclusion of critically ill patients in our clinical trials may result in deaths or other adverse medical events due to the natural progression of the disease.</w:t>
      </w:r>
    </w:p>
    <w:p>
      <w:pPr>
        <w:spacing w:after="0" w:line="176"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Further, if patients drop out of our ongoing or future clinical trials, miss scheduled doses or follow-up visits or otherwise fail to follow trial protocols, or if our clinical trials are otherwise disrupted due to global geopolitical tension, armed conflicts, potential future health pandemics or other adverse macroeconomic and geopolitical events, the integrity of data from our clinical trials may be compromised or not accepted by the FDA or other regulatory authorities, which would represent a significant setback for the applicable program. In addition, the COVID-19 pandemic previously impacted clinical trials broadly, including our completed efzofitimod Phase 1b/2a trial in patients with pulmonary sarcoidosis, where many sites stopped enrollment and patients chose not to enroll or continue participating in the trial due to the impact of COVID-19. While we completed the clinical trial, the availability of results from the Phase 1b/2a clinical trial was delayed until September 2021.</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complete or otherwise advance clinical development, obtain regulatory or marketing approval for, or successfully commercialize our therapeutic product candidates, including efzofitimod, or experience significant delays in doing so, our business will be materially harmed.</w:t>
      </w:r>
    </w:p>
    <w:p>
      <w:pPr>
        <w:spacing w:after="0" w:line="67" w:lineRule="exact"/>
        <w:rPr>
          <w:sz w:val="20"/>
          <w:szCs w:val="20"/>
          <w:color w:val="auto"/>
        </w:rPr>
      </w:pPr>
    </w:p>
    <w:p>
      <w:pPr>
        <w:jc w:val="both"/>
        <w:ind w:firstLine="562"/>
        <w:spacing w:after="0" w:line="252" w:lineRule="auto"/>
        <w:rPr>
          <w:sz w:val="20"/>
          <w:szCs w:val="20"/>
          <w:color w:val="auto"/>
        </w:rPr>
      </w:pPr>
      <w:r>
        <w:rPr>
          <w:rFonts w:ascii="Times New Roman" w:cs="Times New Roman" w:eastAsia="Times New Roman" w:hAnsi="Times New Roman"/>
          <w:sz w:val="18"/>
          <w:szCs w:val="18"/>
          <w:color w:val="auto"/>
        </w:rPr>
        <w:t>To date, we have expended significant time, resources and effort on the discovery and development of product candidates related to the extracellular proteins derived from the histidyl tRNA synthetase (HARS) family, including conducting preclinical studies and clinical trials. We have not yet completed any evaluation of our product candidates in human clinical trials designed to demonstrate efficacy to the satisfaction of the FDA. Before we can market or sell our therapeutic candidates in the United States or foreign jurisdictions, we will need to commence and complete additional clinical trials (including our EFZO-CONNECT study) and larger, pivotal trials (like the EFZO-FIT study), manage clinical and manufacturing activities, obtain necessary regulatory approvals from the FDA in the United States and from similar regulatory authorities in other jurisdictions, obtain adequate clinical and commercial manufacturing supplies, build commercial capabilities, which may include entering into a marketing collaboration with a third party, and in some jurisdictions, obtain reimbursement authorization, among other things. We cannot assure you that we will be able to successfully complete the necessary clinical trials, obtain regulatory approvals, secure an adequate commercial supply for, or otherwise successfully commercialize our therapeutic candidates. If we do not receive regulatory approvals for our product candidates, and even if we do obtain regulatory approvals, we may never generate significant revenues, if any, from commercial sales. If we fail to successfully commercialize our therapeutic candidates, we may be unable to generate sufficient revenues to sustain and grow our company, and our business, prospects, financial condition and results of operations will be adversely affected.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established FDA regulatory pathway for approval of a drug in pulmonary sarcoidosis. As a result, the EFZO-FIT study, even if successful, may not be sufficient to support FDA approval, which would materially and adversely harm our business.</w:t>
      </w:r>
    </w:p>
    <w:p>
      <w:pPr>
        <w:spacing w:after="0" w:line="51"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During the third quarter of 2022, we initiated the EFZO-FIT study. The only FDA-approved therapies for the treatment of sarcoidosis are glucocorticoids which were approved by the FDA in the 1950s, prior to current regulatory standards. As such, the most appropriate efficacy endpoints to demonstrate clinically meaningful treatment effects have not been established. In this instance, without regulatory precedent for established endpoints, the FDA has not endorsed a specific means for measurement of steroid reduction. Therefore, we are measuring steroid reduction in multiple ways in an effort to support an approval. Our rationale for selecting endpoints for the EFZO-FIT study is based on the anticipated effects of efzofitimod in pulmonary sarcoidosis consistent with the results of our completed Phase 1b/2a study in patients with pulmonary sarcoidosis. The FDA has highlighted the risk of proceeding with a larger study of longer duration based on our limited Phase 1b/2a data, and our inability to replicate the findings in our Phase 1b/2a study would not support FDA approval and will adversely affect our business, prospects, financial condition and results of operations.</w:t>
      </w:r>
    </w:p>
    <w:p>
      <w:pPr>
        <w:spacing w:after="0" w:line="192"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In addition, the FDA has substantial discretion in the approval process and may refuse to accept any application or decide that our data are insufficient for approval and require additional preclinical, clinical or other trials, which would be costly and significantly delay the potential for regulatory approval. In particular, even if we were to receive positive data from the EFZO-FIT study, the FDA may determine that the data is not compelling enough for approval.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efzofitimod based on the completed clinical trials.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clinical studies,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w:t>
      </w:r>
    </w:p>
    <w:p>
      <w:pPr>
        <w:spacing w:after="0" w:line="192"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disclosure of interim data by us or by our competitors could result in volatility in the price of our common stock.</w:t>
      </w:r>
    </w:p>
    <w:p>
      <w:pPr>
        <w:spacing w:after="0" w:line="180"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a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encountered and may continue to encounter delays and difficulties enrolling patients in our clinical trials for a variety of reasons, including the limited number of patients who have the diseases for which certain of our product candidates are being studied, which could delay or halt the clinical development of our product candidates.*</w:t>
      </w:r>
    </w:p>
    <w:p>
      <w:pPr>
        <w:spacing w:after="0" w:line="67"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for our product candidates is critical to our success. Certain of the conditions for which we may elect to evaluate our product candidates may be rare diseases with limited patient pools from which to draw for clinical trials.</w:t>
      </w: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We may be unable to identify and enroll a sufficient number of patients with the disease in question and who meet the eligibility criteria for, and are willing to participate in, our clinical trials. For example, we are conducting the EFZO-CONNECT study in patients with SSc-ILD, where it is estimated that approximately 100,000 people in the United States are affected by SSc and up to 80% may develop ILD. In addition to the limited potential patient population, the eligibility criteria may further limit the pool of available participants in the EFZO-CONNECT study. Once enrolled, patients may decide or be required to discontinue from the clinical trial due to inconvenience, burden of trial requirements, adverse events associated with efzofitimod, limitations required by trial protocols or other reasons.</w:t>
      </w:r>
    </w:p>
    <w:p>
      <w:pPr>
        <w:spacing w:after="0" w:line="187"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Our ability to identify, recruit, enroll and maintain a sufficient number of patients, or those with required or desired characteristics to achieve diversity in our clinical trials in a timely manner may also be affected by other factors, including, but not limited to:</w:t>
      </w:r>
    </w:p>
    <w:p>
      <w:pPr>
        <w:spacing w:after="0" w:line="54" w:lineRule="exact"/>
        <w:rPr>
          <w:sz w:val="20"/>
          <w:szCs w:val="20"/>
          <w:color w:val="auto"/>
        </w:rPr>
      </w:pPr>
    </w:p>
    <w:p>
      <w:pPr>
        <w:ind w:left="1040" w:hanging="46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patients;</w:t>
      </w:r>
    </w:p>
    <w:p>
      <w:pPr>
        <w:spacing w:after="0" w:line="117"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study protocol and the burdens to patients of compliance with our study protocol;</w:t>
      </w:r>
    </w:p>
    <w:p>
      <w:pPr>
        <w:spacing w:after="0" w:line="117"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therapies and clinical trials for the patient populations and indications under study;</w:t>
      </w:r>
    </w:p>
    <w:p>
      <w:pPr>
        <w:spacing w:after="0" w:line="117"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17"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patients adequately during and after treatment.</w:t>
      </w:r>
    </w:p>
    <w:p>
      <w:pPr>
        <w:spacing w:after="0" w:line="225" w:lineRule="exact"/>
        <w:rPr>
          <w:sz w:val="20"/>
          <w:szCs w:val="20"/>
          <w:color w:val="auto"/>
        </w:rPr>
      </w:pPr>
    </w:p>
    <w:p>
      <w:pPr>
        <w:jc w:val="both"/>
        <w:ind w:right="20" w:firstLine="562"/>
        <w:spacing w:after="0" w:line="261" w:lineRule="auto"/>
        <w:rPr>
          <w:sz w:val="20"/>
          <w:szCs w:val="20"/>
          <w:color w:val="auto"/>
        </w:rPr>
      </w:pPr>
      <w:r>
        <w:rPr>
          <w:rFonts w:ascii="Times New Roman" w:cs="Times New Roman" w:eastAsia="Times New Roman" w:hAnsi="Times New Roman"/>
          <w:sz w:val="18"/>
          <w:szCs w:val="18"/>
          <w:color w:val="auto"/>
        </w:rPr>
        <w:t>We plan to seek initial marketing approval in the United States. We may not be able to initiate or continue clinical trials if we cannot enroll a sufficient number of eligible patients to participate in the clinical trials required by the FDA or other regulatory agencies. Our ability to successfully initiate, enroll and complete a clinical trial in any foreign country is subject to numerous risks unique to conducting business in foreign countries, including, but not limited to:</w:t>
      </w:r>
    </w:p>
    <w:p>
      <w:pPr>
        <w:spacing w:after="0" w:line="72" w:lineRule="exact"/>
        <w:rPr>
          <w:sz w:val="20"/>
          <w:szCs w:val="20"/>
          <w:color w:val="auto"/>
        </w:rPr>
      </w:pPr>
    </w:p>
    <w:p>
      <w:pPr>
        <w:ind w:left="1040" w:hanging="46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or changes in CROs and physicians;</w:t>
      </w:r>
    </w:p>
    <w:p>
      <w:pPr>
        <w:spacing w:after="0" w:line="117"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requirements and standards for the conduct of clinical trials;</w:t>
      </w:r>
    </w:p>
    <w:p>
      <w:pPr>
        <w:spacing w:after="0" w:line="117" w:lineRule="exact"/>
        <w:rPr>
          <w:rFonts w:ascii="Times New Roman" w:cs="Times New Roman" w:eastAsia="Times New Roman" w:hAnsi="Times New Roman"/>
          <w:sz w:val="18"/>
          <w:szCs w:val="18"/>
          <w:color w:val="auto"/>
        </w:rPr>
      </w:pPr>
    </w:p>
    <w:p>
      <w:pPr>
        <w:ind w:left="1040" w:hanging="462"/>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locate qualified local consultants, physicians and partners; and</w:t>
      </w:r>
    </w:p>
    <w:p>
      <w:pPr>
        <w:spacing w:after="0" w:line="117" w:lineRule="exact"/>
        <w:rPr>
          <w:rFonts w:ascii="Times New Roman" w:cs="Times New Roman" w:eastAsia="Times New Roman" w:hAnsi="Times New Roman"/>
          <w:sz w:val="18"/>
          <w:szCs w:val="18"/>
          <w:color w:val="auto"/>
        </w:rPr>
      </w:pPr>
    </w:p>
    <w:p>
      <w:pPr>
        <w:ind w:left="1040" w:right="20" w:hanging="462"/>
        <w:spacing w:after="0" w:line="282"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biotechnology products and treatment.</w:t>
      </w:r>
    </w:p>
    <w:p>
      <w:pPr>
        <w:spacing w:after="0" w:line="162"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Additionally, if patients are unwilling to participate in our clinical trials because of negative publicity from adverse events in our clinical trials or in the biotechnology or protein therapeutics industries or for other reasons, including competitive clinical trials for similar patient populations, the timeline for recruiting patients, conducting studies and obtaining regulatory approval of potential products may be delayed. These delays could result in increased costs, delays in advancing our product development or termination of our clinical trials altogether. If we have difficulty enrolling and maintaining a sufficient number of patients to conduct our clinical trials as planned for any reason, we may need to delay, limit or terminate clinical trials, any of which would have an adverse effect on our business, prospects, financial condition and results of operations.</w:t>
      </w:r>
    </w:p>
    <w:p>
      <w:pPr>
        <w:spacing w:after="0" w:line="187"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Furthermore, clinical trial delays could also shorten any periods during which we may have the exclusive right to commercialize our product candidates or allow our competitors to bring products to market before we do, which could impair our ability to obtain orphan exclusivity and successfully commercialize our product candidates and may have an adverse effect on our business, financial condition and results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and any other product candidates that we may develop from our discovery platform represent novel therapeutic approaches, which may cause significant delays or may not result in any commercially viable drugs.</w:t>
      </w:r>
    </w:p>
    <w:p>
      <w:pPr>
        <w:spacing w:after="0" w:line="51"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We have concentrated the bulk of our research and development efforts to date on studying extracellular functions of tRNA synthetase biology, a newly discovered area of biology. Our future success is highly dependent on the successful development of product candidates based on this new area of biology, including efzofitimod, and additional product candidates arising from proteins derived from tRNA synthetases, including aspartyl-tRNA synthetase (DARS) and aminoacyl-tRNA synthetase (AARS). ATYR0101, a fusion protein derived from a domain of DARS, and ATYR0750, a fusion protein derived from a domain of AARS, are product candidates from our tRNA synthetase biology program that we are continuing to advance in preclinical studies. Extracellular tRNA synthetase-based biology represents a novel approach to drug discovery and development, and to our knowledge, no drugs have been developed using, or based upon, this approach. Despite the successful development of other naturally occurring proteins, such as erythropoietin and insulin, as therapeutics, proteins derived from HARS, AARS or DARS families and from other tRNA synthetase pathways represent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a novel class of protein therapeutics, and our development of these therapeutics is based on our new understanding of human physiology. In particular, the mechanism of action of tRNA synthetases has not been studied extensively, nor has the safety of this class of protein therapeutics been evaluated extensively in humans. The therapeutic product candidates that we elect to develop may not have the physiological functions that we currently ascribe to them, may have limited or no therapeutic applications, or may present safety problems of which we are not yet aware. We cannot be sure that our discovery platform will yield therapeutic product candidates that are safe, effective, approvable by regulatory authorities, manufacturable, scalable, or profitable.</w:t>
      </w:r>
    </w:p>
    <w:p>
      <w:pPr>
        <w:spacing w:after="0" w:line="143"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Because our work represents a new therapeutic approach, developing and commercializing our product candidates, including efzofitimod, subjects us to a number of challenges, including:</w:t>
      </w:r>
    </w:p>
    <w:p>
      <w:pPr>
        <w:spacing w:after="0" w:line="54" w:lineRule="exact"/>
        <w:rPr>
          <w:sz w:val="20"/>
          <w:szCs w:val="20"/>
          <w:color w:val="auto"/>
        </w:rPr>
      </w:pPr>
    </w:p>
    <w:p>
      <w:pPr>
        <w:jc w:val="both"/>
        <w:ind w:left="1260" w:right="20" w:hanging="458"/>
        <w:spacing w:after="0" w:line="266"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defining indications within our targeted diseases and clinical endpoints within each indication that are appropriate to support regulatory approval, including with respect to the EFZO-FIT study and the EFZO-CONNECT study, and prioritization of outcome measurements that would best support the evaluation of efzofitimod’s efficacy;</w:t>
      </w:r>
    </w:p>
    <w:p>
      <w:pPr>
        <w:spacing w:after="0" w:line="67" w:lineRule="exact"/>
        <w:rPr>
          <w:rFonts w:ascii="Times New Roman" w:cs="Times New Roman" w:eastAsia="Times New Roman" w:hAnsi="Times New Roman"/>
          <w:sz w:val="18"/>
          <w:szCs w:val="18"/>
          <w:color w:val="auto"/>
        </w:rPr>
      </w:pPr>
    </w:p>
    <w:p>
      <w:pPr>
        <w:ind w:left="1260" w:hanging="458"/>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from the FDA and other regulatory authorities that have little or no experience with the development of extracellular tRNA synthetase-based therapeutics;</w:t>
      </w:r>
    </w:p>
    <w:p>
      <w:pPr>
        <w:spacing w:after="0" w:line="53" w:lineRule="exact"/>
        <w:rPr>
          <w:rFonts w:ascii="Times New Roman" w:cs="Times New Roman" w:eastAsia="Times New Roman" w:hAnsi="Times New Roman"/>
          <w:sz w:val="18"/>
          <w:szCs w:val="18"/>
          <w:color w:val="auto"/>
        </w:rPr>
      </w:pPr>
    </w:p>
    <w:p>
      <w:pPr>
        <w:ind w:left="1260" w:hanging="458"/>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 effect profile of each of our product candidates, such as the potential for the development of antibodies against our purified protein therapeutics;</w:t>
      </w:r>
    </w:p>
    <w:p>
      <w:pPr>
        <w:spacing w:after="0" w:line="53" w:lineRule="exact"/>
        <w:rPr>
          <w:rFonts w:ascii="Times New Roman" w:cs="Times New Roman" w:eastAsia="Times New Roman" w:hAnsi="Times New Roman"/>
          <w:sz w:val="18"/>
          <w:szCs w:val="18"/>
          <w:color w:val="auto"/>
        </w:rPr>
      </w:pPr>
    </w:p>
    <w:p>
      <w:pPr>
        <w:ind w:left="1260" w:hanging="458"/>
        <w:spacing w:after="0" w:line="282"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processes for the safe administration of these product candidates, including long-term follow-up for all patients who receive our product candidates;</w:t>
      </w:r>
    </w:p>
    <w:p>
      <w:pPr>
        <w:spacing w:after="0" w:line="53" w:lineRule="exact"/>
        <w:rPr>
          <w:rFonts w:ascii="Times New Roman" w:cs="Times New Roman" w:eastAsia="Times New Roman" w:hAnsi="Times New Roman"/>
          <w:sz w:val="18"/>
          <w:szCs w:val="18"/>
          <w:color w:val="auto"/>
        </w:rPr>
      </w:pPr>
    </w:p>
    <w:p>
      <w:pPr>
        <w:ind w:left="1260" w:hanging="458"/>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clinical and, if approved, commercial supplies for the materials used to manufacture and process our product candidates;</w:t>
      </w:r>
    </w:p>
    <w:p>
      <w:pPr>
        <w:spacing w:after="0" w:line="117" w:lineRule="exact"/>
        <w:rPr>
          <w:rFonts w:ascii="Times New Roman" w:cs="Times New Roman" w:eastAsia="Times New Roman" w:hAnsi="Times New Roman"/>
          <w:sz w:val="18"/>
          <w:szCs w:val="18"/>
          <w:color w:val="auto"/>
        </w:rPr>
      </w:pPr>
    </w:p>
    <w:p>
      <w:pPr>
        <w:jc w:val="both"/>
        <w:ind w:left="1260" w:hanging="458"/>
        <w:spacing w:after="0" w:line="266" w:lineRule="auto"/>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manufacturing process and distribution network that ensures consistent manufacture of our product candidates in compliance with current good manufacturing practices (cGMPs) and related requirements, with a cost of goods that allows for an attractive return on investment;</w:t>
      </w:r>
    </w:p>
    <w:p>
      <w:pPr>
        <w:spacing w:after="0" w:line="67" w:lineRule="exact"/>
        <w:rPr>
          <w:rFonts w:ascii="Times New Roman" w:cs="Times New Roman" w:eastAsia="Times New Roman" w:hAnsi="Times New Roman"/>
          <w:sz w:val="18"/>
          <w:szCs w:val="18"/>
          <w:color w:val="auto"/>
        </w:rPr>
      </w:pPr>
    </w:p>
    <w:p>
      <w:pPr>
        <w:ind w:left="1260" w:hanging="458"/>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of our product candidates;</w:t>
      </w:r>
    </w:p>
    <w:p>
      <w:pPr>
        <w:spacing w:after="0" w:line="117" w:lineRule="exact"/>
        <w:rPr>
          <w:rFonts w:ascii="Times New Roman" w:cs="Times New Roman" w:eastAsia="Times New Roman" w:hAnsi="Times New Roman"/>
          <w:sz w:val="18"/>
          <w:szCs w:val="18"/>
          <w:color w:val="auto"/>
        </w:rPr>
      </w:pPr>
    </w:p>
    <w:p>
      <w:pPr>
        <w:ind w:left="1260" w:hanging="458"/>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after obtaining any regulatory approval to gain market acceptance; and</w:t>
      </w:r>
    </w:p>
    <w:p>
      <w:pPr>
        <w:spacing w:after="0" w:line="117" w:lineRule="exact"/>
        <w:rPr>
          <w:rFonts w:ascii="Times New Roman" w:cs="Times New Roman" w:eastAsia="Times New Roman" w:hAnsi="Times New Roman"/>
          <w:sz w:val="18"/>
          <w:szCs w:val="18"/>
          <w:color w:val="auto"/>
        </w:rPr>
      </w:pPr>
    </w:p>
    <w:p>
      <w:pPr>
        <w:ind w:left="1260" w:hanging="458"/>
        <w:spacing w:after="0"/>
        <w:tabs>
          <w:tab w:leader="none" w:pos="1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therapeutics for diseases or indications beyond those addressed by our current product candidates.</w:t>
      </w:r>
    </w:p>
    <w:p>
      <w:pPr>
        <w:spacing w:after="0" w:line="198"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Moreover, public perception of safety issues, including adoption of new therapeutics or novel approaches to treatment, may adversely influence the willingness of subjects to participate in clinical trials, or if approved, of physicians to adopt and prescribe novel therapeutics. Physicians, hospitals and third-party payors often are slow to adopt new products, technologies and treatment practices. Physicians may decide the therapy is too complex or unproven to adopt and may choose not to administer the therapy. Based on these and other factors, healthcare providers and payors may decide that the benefits of any therapeutic candidates for which we receive regulatory approval do not or will not outweigh its costs. Any inability to successfully develop commercially viable drugs would have an adverse impact on our business, prospects,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Data generated in our preclinical studies and patient sample data relating to the immunomodulatory domain of HARS, including efzofitimod, may not be predictive or indicative of the immunomodulatory activity or therapeutic effects, if any, of our product candidates in patients.*</w:t>
      </w:r>
    </w:p>
    <w:p>
      <w:pPr>
        <w:spacing w:after="0" w:line="49"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 xml:space="preserve">Our scientists discovered the activity of the immunomodulatory domain of HARS, including efzofitimod, using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screening systems designed to test potential immunomodulatory activity in animal models of immune activity or inflammation. Translational medicine, or the application of basic scientific findings to develop therapeutics that promote human health, is subject to a number of inherent risks. In particular, scientific hypotheses formed from preclinical observations may prove to be incorrect, and the data generated in animal models or observed in limited patient populations may be of limited value, and may not be applicable in clinical trials conducted under the controlled conditions required by applicable regulatory requirements and our protocols. For example, we have not extensively studied the activity of efzofitimod in patients with ILD.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9" w:name="page30"/>
    <w:bookmarkEnd w:id="29"/>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Our classification of diseases based on the existence of excessive immune cell activation or lack thereof and our hypothesis that these represent potential indications for our product candidates may not prove to be therapeutically relevant. Accordingly, the conclusions that we have drawn from animal studies and patient sample data regarding the potential immunomodulatory activity of efzofitimod may not be substantiated in other animal models or in clinical trials. Further, based on the discovery of the involvement of neuropilin-2 (NRP2) in the mechanism of action of efzofitimod, we are still expanding our knowledge of the role of the NRP2 pathway in regulating immune responses. Although we were able to establish clinical proof-of-concept for efzofitimod in our Phase 1b/2a clinical trial in patients with pulmonary sarcoidosis, this may not be validated in other clinical trials. Any failure to demonstrate in controlled clinical trials the requisite safety and efficacy of our product candidates will adversely affect our business, prospects, financial condition and results of operations.</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conducted and we or our third party collaborators may conduct additional clinical trials of efzofitimod outside of the United States. The FDA, however, may not accept data from such trials, in which case our development plans will be delayed, which could materially harm our business.*</w:t>
      </w:r>
    </w:p>
    <w:p>
      <w:pPr>
        <w:spacing w:after="0" w:line="67"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In June 2018, we completed a Phase 1 clinical trial of efzofitimod in healthy subjects in Australia. This randomized, double-blind, placebo-controlled study investigated the safety, tolerability, immunogenicity, and pharmacokinetics (PK) of intravenous efzofitimod in 36 healthy volunteers. In addition, we or our third party collaborators may choose to conduct additional clinical trials for efzofitimod in countries outside the United States, subject to applicable regulatory approval. For example, our partner, Kyorin Pharmaceutical Co., Ltd. (Kyorin), conducted and funded an efzofitimod Phase 1 clinical trial in 32 healthy Japanese male volunteers and is participating in the EZFO-FIT study. In July 2024, we completed enrollment of the EFZO-FIT study with a total of 268 subjects in centers in the United States, Europe, Brazil, as well as centers in Japan where our partner Kyorin led the enrollment effort.</w:t>
      </w:r>
    </w:p>
    <w:p>
      <w:pPr>
        <w:spacing w:after="0" w:line="162"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United States, acceptance of such study data is generally subject to certain conditions. For example, in cases where data from foreign clinical trials are intended to serve as the basis for marketing approval in the United States, the FDA will generally not approve the application on the basis of foreign data alone unless (i) the data are applicable in the U.S. population and U.S. medical practice; and (ii) the clinical trials were performed by clinical investigators of recognized competence and pursuant to GCP regulations. Additionally, the FDA’s clinical trial requirements, including sufficient size of patient populations and statistical powering, must be met. In addition, when studies are conducted only at sites outside of the United States, the FDA generally does not provide advance comment on the clinical protocols for the studies, and therefore there is an additional risk that the FDA could determine that the study design or protocol for a non-U.S. clinical trial was inadequate, which would likely require us to conduct additional clinical trials, in which case our development plans will be delayed, which could materially harm our business.</w:t>
      </w:r>
    </w:p>
    <w:p>
      <w:pPr>
        <w:spacing w:after="0" w:line="14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Conducting clinical trials outside the United States also exposes us to additional risks, including risks associated with:</w:t>
      </w:r>
    </w:p>
    <w:p>
      <w:pPr>
        <w:spacing w:after="0" w:line="117" w:lineRule="exact"/>
        <w:rPr>
          <w:sz w:val="20"/>
          <w:szCs w:val="20"/>
          <w:color w:val="auto"/>
        </w:rPr>
      </w:pPr>
    </w:p>
    <w:p>
      <w:pPr>
        <w:ind w:left="1260" w:hanging="45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requirements;</w:t>
      </w:r>
    </w:p>
    <w:p>
      <w:pPr>
        <w:spacing w:after="0" w:line="117" w:lineRule="exact"/>
        <w:rPr>
          <w:rFonts w:ascii="Times New Roman" w:cs="Times New Roman" w:eastAsia="Times New Roman" w:hAnsi="Times New Roman"/>
          <w:sz w:val="18"/>
          <w:szCs w:val="18"/>
          <w:color w:val="auto"/>
        </w:rPr>
      </w:pPr>
    </w:p>
    <w:p>
      <w:pPr>
        <w:ind w:left="1260" w:hanging="45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1260" w:hanging="45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1260" w:hanging="45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117" w:lineRule="exact"/>
        <w:rPr>
          <w:rFonts w:ascii="Times New Roman" w:cs="Times New Roman" w:eastAsia="Times New Roman" w:hAnsi="Times New Roman"/>
          <w:sz w:val="18"/>
          <w:szCs w:val="18"/>
          <w:color w:val="auto"/>
        </w:rPr>
      </w:pPr>
    </w:p>
    <w:p>
      <w:pPr>
        <w:ind w:left="1260" w:hanging="45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global geopolitical tension, armed conflicts and macroeconomic developments; and</w:t>
      </w:r>
    </w:p>
    <w:p>
      <w:pPr>
        <w:spacing w:after="0" w:line="117" w:lineRule="exact"/>
        <w:rPr>
          <w:rFonts w:ascii="Times New Roman" w:cs="Times New Roman" w:eastAsia="Times New Roman" w:hAnsi="Times New Roman"/>
          <w:sz w:val="18"/>
          <w:szCs w:val="18"/>
          <w:color w:val="auto"/>
        </w:rPr>
      </w:pPr>
    </w:p>
    <w:p>
      <w:pPr>
        <w:ind w:left="1260" w:hanging="458"/>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Further, the integrity of data from any clinical trials conducted outside of the United States may not be acceptable to the FDA.</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therapeutic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51" w:lineRule="exact"/>
        <w:rPr>
          <w:sz w:val="20"/>
          <w:szCs w:val="20"/>
          <w:color w:val="auto"/>
        </w:rPr>
      </w:pPr>
    </w:p>
    <w:p>
      <w:pPr>
        <w:jc w:val="both"/>
        <w:ind w:firstLine="562"/>
        <w:spacing w:after="0" w:line="252" w:lineRule="auto"/>
        <w:rPr>
          <w:sz w:val="20"/>
          <w:szCs w:val="20"/>
          <w:color w:val="auto"/>
        </w:rPr>
      </w:pPr>
      <w:r>
        <w:rPr>
          <w:rFonts w:ascii="Times New Roman" w:cs="Times New Roman" w:eastAsia="Times New Roman" w:hAnsi="Times New Roman"/>
          <w:sz w:val="18"/>
          <w:szCs w:val="18"/>
          <w:color w:val="auto"/>
        </w:rPr>
        <w:t>Undesirable side effects caused by our product candidates, or safety, tolerability or toxicity issues that may occur in our preclinical studies, clinical trials or in the future, could cause us or regulatory authorities to interrupt, restrict, delay, or halt clinical trials and could result in a more restrictive label or the delay or denial of regulatory approval by the FDA or other comparable foreign authorities. Generalized infusion related reactions (IRRs) and other complications or side effects could harm further development and/or commercialization of our product candidates, including efzofitimod. Additionally, our product candidates are designed to be administered by intravenous injection, which may cause side effects, including acute immune responses and injection site reactions. The risk of adverse immune responses remains a significant concern for protein therapeutics, and we cannot assure you that these or other risks will not occur in any clinical trials for our product candidates. There is also a risk of delayed adverse events as a result of long-term exposure to protein therapeutics that must be administered repeatedly for the management of chronic conditions, such as the development of antibodies, which may occur over time. If any such adverse events occur, which may include the development of a negative autoimmune response from antibodies or the occurrence of IRRs associated with antibodies, further advancement of our clinical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trials could be halted or delayed, which would have a material adverse effect on our business, prospects, financial condition and results of operations. If one or more of our product candidates receives marketing approval, and we or others later identify undesirable side effects or other safety concerns caused by such products, a number of potentially significant negative consequences could result. Any of these events could prevent us from achieving or maintaining market acceptance of the particular product candidate, if approved, and could significantly harm our business, prospects,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w:t>
      </w:r>
    </w:p>
    <w:p>
      <w:pPr>
        <w:spacing w:after="0" w:line="121"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A key element of our strategy is to expand applications of efzofitimod to additional immune-mediated diseases and leverage our discovery platform to identify the therapeutic potential of extracellular proteins derived from tRNA synthetases to help identify or discover additional product candidates. A significant portion of the research that we are conducting involves new compounds and drug discovery methods, including our proprietary technology. Our drug discovery activities using our proprietary technology may not be successful in identifying product candidates that are useful in treating diseases. Our research programs may initially show promise in identifying potential product candidates, yet fail to yield product candidates for clinical development for a number of reasons, including:</w:t>
      </w:r>
    </w:p>
    <w:p>
      <w:pPr>
        <w:spacing w:after="0" w:line="187" w:lineRule="exact"/>
        <w:rPr>
          <w:sz w:val="20"/>
          <w:szCs w:val="20"/>
          <w:color w:val="auto"/>
        </w:rPr>
      </w:pPr>
    </w:p>
    <w:p>
      <w:pPr>
        <w:ind w:left="1260" w:hanging="368"/>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appropriate potential product candidates; or</w:t>
      </w:r>
    </w:p>
    <w:p>
      <w:pPr>
        <w:spacing w:after="0" w:line="117" w:lineRule="exact"/>
        <w:rPr>
          <w:rFonts w:ascii="Times New Roman" w:cs="Times New Roman" w:eastAsia="Times New Roman" w:hAnsi="Times New Roman"/>
          <w:sz w:val="18"/>
          <w:szCs w:val="18"/>
          <w:color w:val="auto"/>
        </w:rPr>
      </w:pPr>
    </w:p>
    <w:p>
      <w:pPr>
        <w:ind w:left="1260" w:right="20" w:hanging="368"/>
        <w:spacing w:after="0" w:line="282"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product candidates that will receive marketing approval and achieve market acceptance.</w:t>
      </w:r>
    </w:p>
    <w:p>
      <w:pPr>
        <w:spacing w:after="0" w:line="162"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Research programs to identify new product candidates require substantial technical, financial and human resources. We may choose to focus our efforts and resources on a potential product candidate that ultimately proves to be unsuccessful. If we are unable to identify suitable product candidates for preclinical and clinical development and regulatory approval, we will not be able to generate product revenues, which would have an adverse impact on our business, prospects,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manufacturing stoppages and other challenges associated with the clinical or commercial manufacture of our product candidates.</w:t>
      </w:r>
    </w:p>
    <w:p>
      <w:pPr>
        <w:spacing w:after="0" w:line="121"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 sale, including our existing CDMOs for our product candidates, are subject to extensive regulation. Components of a finished therapeutic product approved for commercial sale or use in late-stage clinical trials must be manufactured in accordance with cGMPs.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CDMOs must supply all necessary documentation in support of a biologics license application (BLA) on a timely basis and must adhere to the FDA’s Good Laboratory Practices and cGMP regulations enforced by the FDA through its facilities inspection program. The facilities and quality systems of our CDMOs and other CROs must pass a pre-approval inspection for compliance with applicable regulations as a condition of regulatory approval of our product candidates. If these facilities do not pass a pre-approval plant inspection, FDA approval of the products will not be granted. If anything were to prevent the FDA or other regulatory authorities from conducting their regular inspections, it could impact the ability of our CDMOs to provide us with product for clinical trials.</w:t>
      </w:r>
    </w:p>
    <w:p>
      <w:pPr>
        <w:spacing w:after="0" w:line="151"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approval of a product for sale, audit the facilities in which the product is manufactured. If any such inspection or audit of our facilities or those of our CDMOs and CROs identifies a failure to comply with applicable regulations or if a violation of our product specifications or applicable regulations occurs independently of such an inspection or audit, we or the relevant regulatory authority may require remedial measures that may be costly 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160"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If we or any of our CDMOs and CROs fail to maintain regulatory compliance, the FDA can impose regulatory sanctions including, among other things, refusal to approve a pending application for a new biologic product, or revocation of a pre-existing approval. Additionally, if supply from one approved manufacturer is interrupted, there could be a significant disruption in clinical or commercial supply. An alternative manufacturer would need to be qualified through a BLA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47"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In addition, the manufacture of our product candidates presents challenges associated with biologics production, including the inherent instability of larger, more complex molecules and the need to ensure uniformity of the drug substance produced in different facilities or across different batches. The process of manufacturing biologics is extremely susceptible to product loss due to contamination, equipment failure or improper installation or operation of equipment, or vendor or operator error. Even minor deviations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from normal manufacturing and distribution processes for any of our product candidates could result in reduced production yields, product defects, and other supply disruptions. Furthermore, although tRNA synthetases represent a class of proteins that may share immunomodulatory properties in various physiological pathways, each tRNA synthetase has a different structure and may have unique manufacturing requirements that are not applicable across the entire class. For example, fusion proteins, such as efzofitimod, include an additional antibody domain to improve PK characteristics, and may therefore require a more complex and time-consuming manufacturing process than other tRNA synthetase-based therapeutic candidates. Currently, we are producing our efzofitimod molecule in </w:t>
      </w:r>
      <w:r>
        <w:rPr>
          <w:rFonts w:ascii="Times New Roman" w:cs="Times New Roman" w:eastAsia="Times New Roman" w:hAnsi="Times New Roman"/>
          <w:sz w:val="18"/>
          <w:szCs w:val="18"/>
          <w:i w:val="1"/>
          <w:iCs w:val="1"/>
          <w:color w:val="auto"/>
        </w:rPr>
        <w:t>E.coli</w:t>
      </w:r>
      <w:r>
        <w:rPr>
          <w:rFonts w:ascii="Times New Roman" w:cs="Times New Roman" w:eastAsia="Times New Roman" w:hAnsi="Times New Roman"/>
          <w:sz w:val="18"/>
          <w:szCs w:val="18"/>
          <w:color w:val="auto"/>
        </w:rPr>
        <w:t>. The manufacturing processes for one of our product candidates may not be readily adaptable to other product candidates that we develop, and we may need to engage multiple third-party manufacturers to produce our product candidates. For example, we engaged an additional CDMO to manufacture efzofitimod and completed a technology transfer and validation process before the new CDMO was able to produce additional bulk drug substance. Any adverse developments affecting manufacturing operations for our product candidates may result in shipment delays, inventory shortages, lot failures, withdrawals or recalls or other interruptions in the supply of our drug substance and drug product which could delay the development of our product candidates. We may also have to write off inventory, incur other charges and expenses for supply of drug product that fails to meet specifications or expires, undertake costly remediation efforts, or seek more costly manufacturing alternatives. Any manufacturing stoppage or delay, or any inability to consistently manufacture adequate supplies of our product candidates for our clinical trials or on a commercial scale will harm our business, prospects, financial condition and results of operations.</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we cannot predict when or if we will obtain regulatory approval to commercialize a product candidate, and the scope of any approval may be narrower than we expect.</w:t>
      </w:r>
    </w:p>
    <w:p>
      <w:pPr>
        <w:spacing w:after="0" w:line="5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We cannot commercialize a product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regulatory approval.</w:t>
      </w:r>
    </w:p>
    <w:p>
      <w:pPr>
        <w:spacing w:after="0" w:line="176"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Additional delays may result if an FDA advisory committee or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 Regulatory agencies also may approve a product candidate for fewer or more limited indications than requested, may impose restrictions on dosing or may grant approval subject to the performance of post-marketing studies. In addition, regulatory agencies may not approve the labeling claims that are necessary or desirable for the successful commercialization of our product candidates.</w:t>
      </w:r>
    </w:p>
    <w:p>
      <w:pPr>
        <w:spacing w:after="0" w:line="18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Although we have obtained orphan drug designation for efzofitimod for the treatment of sarcoidosis and systemic sclerosis in the United States and for the treatment of sarcoidosis in the European Union (EU) we may not receive orphan drug designation for efzofitimod in other jurisdictions or for other indications that we may pursue, or for any other product candidates we may develop under any new applications for orphan drug designation that we may submit, and any orphan drug designations that we have received or may receive may not confer marketing exclusivity or other expected commercial benefits.</w:t>
      </w:r>
    </w:p>
    <w:p>
      <w:pPr>
        <w:spacing w:after="0" w:line="75"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The FDA granted orphan drug designation to efzofitimod for the treatment of sarcoidosis in January 2022 and SSc in April 2022. The European Commission, on the basis of the opinion of the European Medicines Agency (EMA) Committee for Orphan Medicinal Products (COMP) granted orphan drug designation to efzofitimod for the treatment of sarcoidosis in January 2023 and for the treatment of SSc in June 2023. We may apply for orphan drug designation for efzofitimod for other indications and product candidates in the United States and the EU.</w:t>
      </w:r>
    </w:p>
    <w:p>
      <w:pPr>
        <w:spacing w:after="0" w:line="180"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designate a drug or biologic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 the EMA’s COMP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88"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Orphan drug status confers up to ten years of marketing exclusivity in Europe, and up to seven years of marketing exclusivity in the United States, for a particular product in a specified indication. Obtaining an orphan drug designation can be difficult and we cannot assure you that we will be able to obtain orphan drug designation in other jurisdictions or for other indications, or rely on orphan drug or similar designations to exclude other companies from manufacturing or selling products using the same principal mechanisms of action for the same indications that we pursue beyond these timeframes. Furthermore, marketing exclusivity in Europe can be reduced from ten years to six years if the initial designation criteria have significantly changed since the market authorization of the orphan product. Even if we are the first to obtain marketing authorization for an orphan drug indication, there are circumstances under which 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competing product may be approved for the same indication during the period of marketing exclusivity, such as if the later product is shown to be clinically superior to the orphan product, or if the later product is deemed a different product than ours. Further, the marketing exclusivity would not prevent competitors from obtaining approval of the same product candidate as ours for indications other than those in which we have been granted orphan drug designation, or for the use of other types of products in the same indications as our orphan product.</w:t>
      </w:r>
    </w:p>
    <w:p>
      <w:pPr>
        <w:spacing w:after="0" w:line="17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or Fast Track designation by the FDA, including the Fast Track designation we received for efzofitimod, may not lead to expedited development or regulatory review or approval.</w:t>
      </w:r>
    </w:p>
    <w:p>
      <w:pPr>
        <w:spacing w:after="0" w:line="51"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In 2022, the FDA granted Fast Track designation to efzofitimod for the treatment of pulmonary sarcoidosis and for the treatment of SSc-ILD. We may seek, from time to time, breakthrough therapy or Fast Track designation for our product candidates. A breakthrough therapy designation is for a product candidate intended to treat a serious or life-threatening condition, and preliminary clinical evidence indicates that the product candidate may demonstrate substantial improvement on a clinically significant endpoint(s) over available therapies. A Fast Track designation is for a product candidate that treats a serious or life-threatening condition, and preclinical or clinical data demonstrate the potential to address an unmet medical need. The FDA has broad discretion whether or not to grant these designations. Accordingly, even if we believe a particular product candidate is eligible for breakthrough therapy or Fast Track designation, we cannot assure you that the FDA would decide to grant it. Even if we receive breakthrough therapy or Fast Track designation, we may not experience a faster development process, review or approval compared to conventional FDA procedures. The FDA may withdraw breakthrough therapy or Fast Track designation if it believes that the product no longer meets the qualifying criteria. In addition, the breakthrough therapy program is a relatively new program. As a result, we cannot be certain whether any of our product candidates can or will qualify for breakthrough therapy designation. Our business may be harmed if we are unable to avail ourselves of these or any other expedited development and regulatory pathways.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Disruptions at the FDA and other government agencies caused by funding shortages or global health concerns could negatively impact our business.</w:t>
      </w:r>
    </w:p>
    <w:p>
      <w:pPr>
        <w:spacing w:after="0" w:line="121"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231F20"/>
        </w:rPr>
        <w:t>The ability of the FDA to review and approve proposed clinical trials or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product candidates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will remain subject to regulatory scrutiny.</w:t>
      </w:r>
    </w:p>
    <w:p>
      <w:pPr>
        <w:spacing w:after="0" w:line="121"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for a product candidate, such product will be subject to ongoing regulatory requirements for manufacturing, labeling, packaging, storage, advertising, promotion, sampling, record-keeping, conduct of post-marketing studies, adverse event reporting and submission of safety, efficacy, and other post-market information, including both federal and state requirements in the United States and requirements of comparable foreign regulatory authorities.</w:t>
      </w:r>
    </w:p>
    <w:p>
      <w:pPr>
        <w:spacing w:after="0" w:line="180"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We and our CDMOs will be subject to continual review and inspections to assess compliance with cGMPs and adherence to commitments made in any BLA or marketing authorization application (MAA). Accordingly, we and others with whom we work will need to continue to expend time, money, and effort in all areas of regulatory compliance, including manufacturing, production, and quality control.</w:t>
      </w:r>
    </w:p>
    <w:p>
      <w:pPr>
        <w:spacing w:after="0" w:line="176"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If new safety issues emerge, we may be required to change our labeling. Any new legislation addressing drug safety or efficacy issues could result in delays in product development or commercialization, or increased costs to assure compliance.</w:t>
      </w:r>
    </w:p>
    <w:p>
      <w:pPr>
        <w:spacing w:after="0" w:line="183"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We will have to comply with requirements concerning advertising and promotion for our products. Violations, including actual or alleged promotion of our products for unapproved, or off-label, uses are subject to enforcement letters, inquiries and investigations, and civil and criminal sanctions. Any actual or alleged failure to comply with labeling and promotion requirements may have a negative impact on our business. In the United States, engaging in impermissible promotion of our products for off-label uses can also subject us to false claims litigation under federal and state statutes, which can lead to civil and criminal penalties and fines, agreements that would materially restrict the manner in which we promote or distribute our drug products and exclusion from Medicare, Medicaid and other federal and state healthcare programs. These false claims statutes include the federal False Claims Act, which allows any individual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If we do not lawfully promote our approved products, we may become subject to such litigation and, if we are not successful in defending against such actions, those actions could compromise our ability to become profitable.</w:t>
      </w:r>
    </w:p>
    <w:p>
      <w:pPr>
        <w:spacing w:after="0" w:line="180"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were obtained through an accelerated approval pathway, we could be required to conduct a successful post-marketing clinical trial to confirm clinical benefit for our products. An unsuccessful post-marketing study or failure to complete such a trial could result in the withdrawal of marketing approval.</w:t>
      </w:r>
    </w:p>
    <w:p>
      <w:pPr>
        <w:spacing w:after="0" w:line="183"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2" w:lineRule="exact"/>
        <w:rPr>
          <w:sz w:val="20"/>
          <w:szCs w:val="20"/>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untitled or warning letters;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civil or criminal penalties;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our operations, including closing our CDMOs’ facilities; or</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require or request a product recall.</w:t>
      </w:r>
    </w:p>
    <w:p>
      <w:pPr>
        <w:spacing w:after="0" w:line="225"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need for additional capital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capital or enter into strategic partnering relationships to fund our operations.*</w:t>
      </w:r>
    </w:p>
    <w:p>
      <w:pPr>
        <w:spacing w:after="0" w:line="121"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The development of therapeutic product candidates is expensive, and we expect our research and development expenses to fluctuate. As of June 30, 2024, our cash, cash equivalents, restricted cash and available-for-sale investments were approximately $81.4 million. We believe that our current cash, cash equivalents, restricted cash and available-for-sale investments, will be sufficient to meet our material cash requirements for known contractual and other obligations for a period of at least one year from the date of this Quarterly Report. However, our operating plans may change as a result of many factors currently unknown to us, and we may need to seek additional funds sooner than planned, through equity or debt offerings, grant funding, collaborations, strategic partnerships and/or licensing arrangements. Our future funding requirements are difficult to forecast and will depend on many factors, including but not limited to:</w:t>
      </w:r>
    </w:p>
    <w:p>
      <w:pPr>
        <w:spacing w:after="0" w:line="81" w:lineRule="exact"/>
        <w:rPr>
          <w:sz w:val="20"/>
          <w:szCs w:val="20"/>
          <w:color w:val="auto"/>
        </w:rPr>
      </w:pPr>
    </w:p>
    <w:p>
      <w:pPr>
        <w:jc w:val="both"/>
        <w:ind w:left="1540" w:hanging="514"/>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expansions, results, costs and timing of, our clinical trials and preclinical studies for our product candidates or other potential product candidates or indications which we are pursuing or may choose to pursue in the future, including changes in our CROs or CDMOs;</w:t>
      </w:r>
    </w:p>
    <w:p>
      <w:pPr>
        <w:spacing w:after="0" w:line="6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delays of our planned clinical trials of efzofitimod;</w:t>
      </w:r>
    </w:p>
    <w:p>
      <w:pPr>
        <w:spacing w:after="0" w:line="117"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increases related to the manufacturing of preclinical study and clinical trial materials, including cost increases related to technology transfers to additional CDMOs and any delays in the manufacturing of study drug;</w:t>
      </w:r>
    </w:p>
    <w:p>
      <w:pPr>
        <w:spacing w:after="0" w:line="53" w:lineRule="exact"/>
        <w:rPr>
          <w:rFonts w:ascii="Times New Roman" w:cs="Times New Roman" w:eastAsia="Times New Roman" w:hAnsi="Times New Roman"/>
          <w:sz w:val="18"/>
          <w:szCs w:val="18"/>
          <w:color w:val="auto"/>
        </w:rPr>
      </w:pPr>
    </w:p>
    <w:p>
      <w:pPr>
        <w:jc w:val="both"/>
        <w:ind w:left="1540" w:hanging="514"/>
        <w:spacing w:after="0" w:line="257"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increases as a result of global geopolitical tension, armed conflicts, potential future health pandemics, liquidity concerns at, and failures of, banks and other financial institutions or other disruptions in the banking system or financing markets, higher interest rates and financial and credit market fluctuations, volatility in the capital markets,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left="1540"/>
        <w:spacing w:after="0" w:line="282" w:lineRule="auto"/>
        <w:rPr>
          <w:sz w:val="20"/>
          <w:szCs w:val="20"/>
          <w:color w:val="auto"/>
        </w:rPr>
      </w:pPr>
      <w:r>
        <w:rPr>
          <w:rFonts w:ascii="Times New Roman" w:cs="Times New Roman" w:eastAsia="Times New Roman" w:hAnsi="Times New Roman"/>
          <w:sz w:val="18"/>
          <w:szCs w:val="18"/>
          <w:color w:val="auto"/>
        </w:rPr>
        <w:t>labor shortages, economic slowdowns, recessions or market corrections, inflation and monetary supply shifts and tightening of credit markets;</w:t>
      </w:r>
    </w:p>
    <w:p>
      <w:pPr>
        <w:spacing w:after="0" w:line="54" w:lineRule="exact"/>
        <w:rPr>
          <w:sz w:val="20"/>
          <w:szCs w:val="20"/>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and clinical trials for other product candidates;</w:t>
      </w:r>
    </w:p>
    <w:p>
      <w:pPr>
        <w:spacing w:after="0" w:line="117"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enter into new collaboration and licensing arrangements and the timing of any payments we may receive under such arrangements;</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62"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In any event, we will require additional capital to complete additional clinical trials, to obtain regulatory approval for, and to commercialize, our product candidates, such as efzofitimod.</w:t>
      </w:r>
    </w:p>
    <w:p>
      <w:pPr>
        <w:spacing w:after="0" w:line="162"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Raising funds in the current and future economic environment may present additional challenges. Even if we believe we have sufficient funds for our current or future operating plans, we may seek additional capital if market conditions are favorable or if we have specific strategic considerations. If we are unable to obtain funding on a timely basis, we may be required to significantly curtail, delay or discontinue one or more of our research or development programs or the commercialization of any product candidates, or we may be unable to expand our operations, maintain our current organization and employee base or otherwise capitalize on our business opportunities, as desired, which could materially affect our business, financial condition and results of operations.</w:t>
      </w:r>
    </w:p>
    <w:p>
      <w:pPr>
        <w:spacing w:after="0" w:line="187"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The terms of any financing may adversely affect the holdings or the rights of our stockholders and the issuance of additional securities by us, or the possibility of such issuance, may cause the market price of our shares to decline. The sale of additional equity or convertible securities would cause dilution to all of our stockholders. The incurrence of indebtedness would result in fixed payment obligations and may require us to agree to certain restrictive covenants, such as limitations on our ability to incur debt, limitations on our ability to acquire, sell or license intellectual property rights and other operating restrictions that could adversely impact our ability to conduct our business. As a result of global geopolitical and macroeconomic conditions, liquidity concerns at, and failures of, banks and other financial institutions or other disruptions in the banking system or financing markets, higher interest rates and financial and credit market fluctuations, volatility in the capital markets, the global credit and financial markets have experienced volatility and disruptions, including severely diminished liquidity and credit availability, declines in consumer confidence, declines in economic growth, volatility in unemployment rates, inflation, higher interest rates and uncertainty about economic stability. If the equity and credit markets deteriorate, it may make any necessary debt or equity financing more difficult, more costly and more dilutive. In addition, any fundraising efforts may divert our management from their day-to-day activities, which may adversely affect our ability to develop and commercialize our product candidates.</w:t>
      </w:r>
    </w:p>
    <w:p>
      <w:pPr>
        <w:spacing w:after="0" w:line="192"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Additionally, financial markets around the world experienced volatility following the invasion of Ukraine by Russia in February 2022.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Ukraine-Russian conflict, which could conceivably expand into the surrounding region, remains uncertain; however, both the conflict and related sanctions have resulted and could continue to result in disruptions to trade, commerce, pricing stability, credit availability and/or supply chain continuity in both Europe and globally, and has introduced significant uncertainty into global markets. In particular, the ongoing Ukraine-Russia conflict has contributed to rapidly rising costs of living (driven largely by higher energy prices) in Europe and other advanced economies. Similarly, the conflict in the Middle East has resulted, and may continue to result, in disruptions to trade and supply chain continuity, and has increased supply chain costs, the full effects of which remains uncertain. Further, a weak or declining economy could strain our suppliers and manufacturers, possibly resulting in additional supply disruption for the production of efzofitimod. As a result, our business and results of operations may be adversely affected by the ongoing Ukraine-Russia conflict and the conflict in the Middle East, particularly to the extent it escalates to involve additional countries, further economic sanctions or wider military conflict.</w:t>
      </w:r>
    </w:p>
    <w:p>
      <w:pPr>
        <w:spacing w:after="0" w:line="187"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In addition, global economic and business activities continue to face widespread macroeconomic uncertainties, including global geopolitical tension, armed conflicts, potential future health pandemics, liquidity concerns at, and failures of, banks and other financial institutions or other disruptions in the banking system or financing markets, higher interest rates and financial and credit market fluctuations, volatility in the capital markets, labor shortages, inflation and monetary supply shifts, and recession risks, which has resulted in further volatility in the U.S. and global financial markets and which has led to, and may continue to lead to, additional disruptions to trade, commerce, pricing stability, credit availability and supply chain continuity globally. The ultimate long-term impact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18"/>
          <w:szCs w:val="18"/>
          <w:color w:val="auto"/>
        </w:rPr>
        <w:t>of the ongoing Ukraine-Russia conflict, the conflict in the Middle East, and other evolving geopolitical and macroeconomic conditions on our business is uncertain, although we continue to actively monitor the impact of these factors on our results of operations, financial condition and cash flows. The extent of the impact of these factors on our operational and financial performance, including our 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pre-commercial biotherapeutics company and have incurred significant losses since our inception and anticipate that we will continue to incur significant losses for the foreseeable future.*</w:t>
      </w:r>
    </w:p>
    <w:p>
      <w:pPr>
        <w:spacing w:after="0" w:line="5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We are a pre-commercial biotherapeutics company, and we have not yet generated any revenues from product sales. We have incurred net losses in each year since our inception in 2005, including consolidated net losses of $31.8 million for the six months ended June 30, 2024. As of June 30, 2024, we had an accumulated deficit of $499.8 million.</w:t>
      </w:r>
    </w:p>
    <w:p>
      <w:pPr>
        <w:spacing w:after="0" w:line="176"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We have devoted most of our financial resources to research and development, including our clinical and preclinical development activities. To date, we have financed our operations primarily through the sale of equity securities and convertible debt and through venture debt, term loans and license and collaboration agreement revenues. The amount of our future net losses will depend, in part, on the rate of our future expenditures and our ability to obtain funding through equity offerings, grant funding, collaborations, strategic partnerships and/or licensing arrangements. We have not completed registrational clinical trials for any product candidate to date and it will be several years, if ever, before we have a product candidate ready for commercialization. Even if we obtain regulatory approval to market a product candidate, our future revenues will depend, in part, upon the size of any markets in which our product candidates have received approval, and our ability to achieve sufficient market acceptance, reimbursement from third-party payors and adequate market share for our product candidates in those markets.</w:t>
      </w:r>
    </w:p>
    <w:p>
      <w:pPr>
        <w:spacing w:after="0" w:line="192"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We anticipate that our expenses will fluctuate in connection with our ongoing activities as we: continue our research and preclinical and clinical development of efzofitimod or any other product candidates that we may develop; obtain clinical trial materials and further develop the manufacturing process for our product candidates; seek regulatory approvals for our product candidates that successfully complete clinical trials; ultimately establish a sales, marketing and distribution infrastructure to commercialize any products for which we may obtain marketing approval; seek to identify and validate additional product candidates; maintain, protect and expand our intellectual property portfolio; acquire or in-license other product candidates and technologies; attract and retain skilled personnel; and create additional infrastructure to support our operations as a public company and our product development and planned future commercialization efforts.</w:t>
      </w:r>
    </w:p>
    <w:p>
      <w:pPr>
        <w:spacing w:after="0" w:line="189"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Our revenues, expenses and income or losses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any revenue from product sales and may never be profitable.</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Our ability to generate revenue and achieve profitability depends on our ability, alone or with strategic collaboration partners, to successfully complete the development of, and obtain the regulatory approvals necessary to commercialize our product candidates. We do not anticipate generating revenues from product sales for the foreseeable future, if ever. Our ability to generate future revenues from product sales depends heavily on our success in:</w:t>
      </w:r>
    </w:p>
    <w:p>
      <w:pPr>
        <w:spacing w:after="0" w:line="68" w:lineRule="exact"/>
        <w:rPr>
          <w:sz w:val="20"/>
          <w:szCs w:val="20"/>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research, preclinical development and clinical development of our product candidates, potentially with a strategic partner;</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and obtaining regulatory approvals for product candidates for which we complete clinical trials;</w:t>
      </w:r>
    </w:p>
    <w:p>
      <w:pPr>
        <w:spacing w:after="0" w:line="117"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sustainable, scalable, reproducible, and transferable manufacturing process for our product candidates and establishing supply and manufacturing relationships with third parties;</w:t>
      </w:r>
    </w:p>
    <w:p>
      <w:pPr>
        <w:spacing w:after="0" w:line="53"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and commercializing product candidates for which we obtain regulatory approval, either by collaborating with a partner or, if launched independently, by establishing a sales force, marketing and distribution infrastructure;</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intellectual property portfolio;</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 acceptance of our product candidates as viable treatment options for our target indications;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validating new therapeutic product candidates;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 and</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licensing, collaboration or other arrangements into which we may enter.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Even if one of our product candidates is approved for commercial sale, we anticipate incurring significant costs associated with commercializing any such approved product candidate. Our expenses could increase beyond expectations if we are required by the FDA or other regulatory agencies, domestic or foreign, to perform clinical trials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existing collaborations and may depend on collaborations with additional third parties for the development and commercialization of certain of our product candidates. If our collaborations are not successful, we may not be able to capitalize on the market potential of these product candidates.</w:t>
      </w:r>
    </w:p>
    <w:p>
      <w:pPr>
        <w:spacing w:after="0" w:line="67"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We have entered into, and may continue to enter into, research collaborations for the research and development of specified product candidates. Our sole source of revenue depends upon the performance by these collaborators of their responsibilities under these arrangements. For example, while we are eligible to receive up to an additional $155.0 million in milestone payments under the Kyorin Agreement, as well as tiered royalties ranging from the mid-single digits to mid-teens on any net sales in Japan, whether and when we receive these payments will depend on Kyorin’s development and commercialization of efzofitimod in Japan, over which we have limited control. The development efforts of our collaborators are subject to the same risks and uncertainties described above with respect to our independently developed product candidates.</w:t>
      </w:r>
    </w:p>
    <w:p>
      <w:pPr>
        <w:spacing w:after="0" w:line="187"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 xml:space="preserve">Some collaborators may not succeed in their product development efforts. It is possible that our collaborators may be unable to obtain regulatory approval of our product candidates or successfully market and commercialize any such products for which regulatory approval is obtained. </w:t>
      </w:r>
      <w:r>
        <w:rPr>
          <w:rFonts w:ascii="Times New Roman" w:cs="Times New Roman" w:eastAsia="Times New Roman" w:hAnsi="Times New Roman"/>
          <w:sz w:val="18"/>
          <w:szCs w:val="18"/>
          <w:color w:val="222222"/>
        </w:rPr>
        <w:t>For example,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while we have received $20.0 million in upfront and milestone payments from Kyorin to date, if Kyorin’s operations are limited as a result of global geopolitical and macroeconomic conditions or other reasons, the development of </w:t>
      </w:r>
      <w:r>
        <w:rPr>
          <w:rFonts w:ascii="Times New Roman" w:cs="Times New Roman" w:eastAsia="Times New Roman" w:hAnsi="Times New Roman"/>
          <w:sz w:val="18"/>
          <w:szCs w:val="18"/>
          <w:color w:val="000000"/>
        </w:rPr>
        <w:t>efzofitimod</w:t>
      </w:r>
      <w:r>
        <w:rPr>
          <w:rFonts w:ascii="Times New Roman" w:cs="Times New Roman" w:eastAsia="Times New Roman" w:hAnsi="Times New Roman"/>
          <w:sz w:val="18"/>
          <w:szCs w:val="18"/>
          <w:color w:val="222222"/>
        </w:rPr>
        <w:t xml:space="preserve"> in Japan may be significantly delayed and adversely affected, which may in turn delay or limit our receipt of any additional payments under the Kyorin Agreement. </w:t>
      </w:r>
      <w:r>
        <w:rPr>
          <w:rFonts w:ascii="Times New Roman" w:cs="Times New Roman" w:eastAsia="Times New Roman" w:hAnsi="Times New Roman"/>
          <w:sz w:val="18"/>
          <w:szCs w:val="18"/>
          <w:color w:val="000000"/>
        </w:rPr>
        <w:t>Other collaborators may not devote sufficient time or</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resources to the programs covered by these arrangements, and we may have limited or no control over the time or resources allocated by these collaborators to these programs. The occurrence of any of these events may cause us to derive little or no revenue from these arrangements, lose opportunities to validate our product candidates, or force us to curtail or cease our development efforts in these areas.</w:t>
      </w:r>
    </w:p>
    <w:p>
      <w:pPr>
        <w:spacing w:after="0" w:line="192"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Our collaborators may breach or terminate their agreements with us, including termination without cause, subject to certain prior written notice requirements, and we may be unsuccessful in entering into and maintaining other collaborative arrangements for the development of product candidates. For example, Kyorin has the right to terminate the agreement for any reason upon 90 days advance written notice to us. In addition, if we are unable to maintain existing collaboration arrangements or enter into new ones, our ability to generate licensing, milestone or royalty revenues would be materially impaired.</w:t>
      </w:r>
    </w:p>
    <w:p>
      <w:pPr>
        <w:spacing w:after="0" w:line="183"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We may decide to enter into additional strategic partnerships, including collaborations with pharmaceutical and biotechnology companies, to enhance and accelerate the development and potential commercialization of our product candidates. We face significant competition in seeking appropriate partners, and the negotiation process is time-consuming and complex. Moreover, we may not be successful in our efforts to establish any new strategic partnership or other collaborative arrangement for any of our product candidates and programs for a variety of reasons, including strategic fit with partners and differences in analysis of commercial value and regulatory risk. We may not be able to negotiate strategic partnerships on a timely basis, on acceptable terms or at all. We are unable to predict when, if ever, we will enter into any new strategic partnership because of the numerous risks and uncertainties associated with establishing strategic partnerships. Even if we are successful in our efforts to establish new strategic partnerships, the terms that we agree upon may not be favorable to us and we may not be able to maintain such strategic partnerships if, for example, we encounter unfavorable results or delays during development or approval of a product candidate or sales of an approved product are lower than expectations.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some or all aspects of our product manufacturing, protocol development, research and preclinical and clinical testing, and these third parties may not perform satisfactorily.</w:t>
      </w:r>
    </w:p>
    <w:p>
      <w:pPr>
        <w:spacing w:after="0" w:line="51"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We currently rely, and expect to continue to rely, on third parties to conduct some or all aspects of product manufacturing, protocol development, research and preclinical and clinical testing with respect to our product candidates. Any of these third parties may terminate their engagements with us at any time. If we need to enter into alternative arrangements, it could delay our product development activities. Our reliance on these third parties for research and development activities reduces our control over these activities but does not relieve us of our responsibility to ensure compliance with all required regulations and study protocols. For example, for any product candidates that we develop and commercialize on our own, we will remain responsible for ensuring that each of our clinical trials is conducted in accordance with the applicable study plan and protocols and GCPs so long as we continue to develop and commercialize on our own.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7" w:name="page38"/>
    <w:bookmarkEnd w:id="37"/>
    <w:p>
      <w:pPr>
        <w:jc w:val="both"/>
        <w:ind w:firstLine="569"/>
        <w:spacing w:after="0" w:line="263" w:lineRule="auto"/>
        <w:rPr>
          <w:sz w:val="20"/>
          <w:szCs w:val="20"/>
          <w:color w:val="auto"/>
        </w:rPr>
      </w:pPr>
      <w:r>
        <w:rPr>
          <w:rFonts w:ascii="Times New Roman" w:cs="Times New Roman" w:eastAsia="Times New Roman" w:hAnsi="Times New Roman"/>
          <w:sz w:val="18"/>
          <w:szCs w:val="18"/>
          <w:color w:val="auto"/>
        </w:rPr>
        <w:t>If these third parties do not successfully carry out their contractual duties, meet expected deadlines or conduct our research and development activities, including clinical trials, in accordance with regulatory requirements or our stated study plans and protocols, we will not be able to complete, or may be delayed in completing, the preclinical studies and clinical trials required to support future BLA submissions and approval of our product candidates.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and intend to rely on third parties to produce preclinical, clinical and commercial supplies of our product candidates.</w:t>
      </w:r>
    </w:p>
    <w:p>
      <w:pPr>
        <w:spacing w:after="0" w:line="12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Other than some internal capacity to support preclinical activities, we do not have, nor do we plan to acquire, the infrastructure or capability internally to manufacture our preclinical and clinical quantities of our product candidates, and we lack the internal resources and capability to manufacture any of our product candidates on a clinical or commercial scale. Reliance on CDMOs entails risks to which we would not be subject if we manufactured the product candidates ourselves, including:</w:t>
      </w:r>
    </w:p>
    <w:p>
      <w:pPr>
        <w:spacing w:after="0" w:line="180" w:lineRule="exact"/>
        <w:rPr>
          <w:sz w:val="20"/>
          <w:szCs w:val="20"/>
          <w:color w:val="auto"/>
        </w:rPr>
      </w:pPr>
    </w:p>
    <w:p>
      <w:pPr>
        <w:ind w:left="1020" w:hanging="368"/>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negotiate manufacturing agreements with third parties under commercially reasonable terms;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as a result of using third-party CDMOs for all aspects of manufacturing activities;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 and</w:t>
      </w:r>
    </w:p>
    <w:p>
      <w:pPr>
        <w:spacing w:after="0" w:line="117" w:lineRule="exact"/>
        <w:rPr>
          <w:rFonts w:ascii="Times New Roman" w:cs="Times New Roman" w:eastAsia="Times New Roman" w:hAnsi="Times New Roman"/>
          <w:sz w:val="18"/>
          <w:szCs w:val="18"/>
          <w:color w:val="auto"/>
        </w:rPr>
      </w:pPr>
    </w:p>
    <w:p>
      <w:pPr>
        <w:ind w:left="1020" w:hanging="368"/>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CDMOs or suppliers caused by conditions unrelated to our business or operations, including the insolvency or bankruptcy of the CDMOs or suppliers.</w:t>
      </w:r>
    </w:p>
    <w:p>
      <w:pPr>
        <w:spacing w:after="0" w:line="162" w:lineRule="exact"/>
        <w:rPr>
          <w:sz w:val="20"/>
          <w:szCs w:val="20"/>
          <w:color w:val="auto"/>
        </w:rPr>
      </w:pPr>
    </w:p>
    <w:p>
      <w:pPr>
        <w:jc w:val="both"/>
        <w:ind w:firstLine="569"/>
        <w:spacing w:after="0" w:line="282"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162"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Additionally, each CDMO may require licenses to manufacture our product candidates or components thereof if the applicable manufacturing processes are not owned by the CDMO or in the public domain, and we may be unable to transfer or sublicense the intellectual property rights we may have with respect to such activities. These factors could cause the delay of clinical development, regulatory submissions, required approvals or commercialization of our product candidates, cause us to incur higher costs and prevent us from commercializing our products successfully.</w:t>
      </w:r>
    </w:p>
    <w:p>
      <w:pPr>
        <w:spacing w:after="0" w:line="180"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We do not have long-term contracts with our CDMOs, and our CDMOs may terminate their agreements with us for a variety of reasons including technical issues or our material breach of our obligations under the applicable agreement. Furthermore, our CDMOs may reallocate resources away from the production of our product candidates if we delay manufacturing under certain circumstances, and the manufacturing facilities in which our product candidates are made could be adversely affected by earthquakes and other natural disasters, labor shortages, power failures, economic slowdowns, higher interest rates, inflation and monetary supply shifts, evolving global geopolitical tension and numerous other factors. If our CDMOs fail to meet contractual requirements, and we are unable to secure one or more replacement CDMOs capable of production at a substantially equivalent cost, our clinical development activities may be delayed, or we could lose potential revenue. Manufacturing biologic drugs is complicated and tightly regulated by the FDA and comparable regulatory authorities around the world, and although alternative CDMOs with the necessary manufacturing and regulatory expertise and facilities exist, it could be expensive and take a significant amount of time to arrange for alternative CDMOs, transfer manufacturing procedures to these alternative CDMOs, and demonstrate comparability of material produced by such new CDMOs. New CDMOs of any product would be required to comply with applicable regulatory requirements. These CDMOs may not be able to manufacture our product candidates at costs, or in quantities, or in a timely manner necessary to complete the clinical development of our product candidates or make commercially successful products.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previously relied on a single CDMO for process development and scale-up of efzofitimod, including the manufacture of bulk drug substance for our projected needs for planned clinical trials. We have entered into an agreement with another CDMO for the transfer of the process, scale-up and manufacturing of bulk drug substance. If we want to eventually utilize product manufactured by the new CDMO for commercial purposes, the FDA will require us to demonstrate that the product manufactured by the new CDMO is comparable in quality, safety and efficacy to the product that is being used in the EFZO-FIT and EFZO-CONNECT studies.</w:t>
      </w:r>
    </w:p>
    <w:p>
      <w:pPr>
        <w:spacing w:after="0" w:line="75"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The current supply of efzofitimod being used in the EFZO-FIT and EFZO-CONNECT studies was produced by a prior CDMO. We have transitioned to a new CDMO that completed its first two commercial-scale cGMP runs during 2023. Full quality release testing has been completed and all release specifications were met, supporting the new CDMO's ability to produce bulk drug substance of efzofitimod for commercial purposes if we receive regulatory approval for efzofitimod. Because the change in CDMO has been introduced at an advanced stage of development of efzofitimod, the FDA will require a comparability assessment, including additional nonclinical or clinical studies utilizing the product manufactured by the new CDMO. These requirements could result in substantial delays and additional costs for clinical development, and commercialization of efzofitimod, or our inability to obtain approval for efzofitimod.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supervise and monitor our clinical trials, and if these third parties perform in an unsatisfactory manner, it may harm our business.</w:t>
      </w:r>
    </w:p>
    <w:p>
      <w:pPr>
        <w:spacing w:after="0" w:line="51"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We have relied, and expect to continue to rely, on third-party CROs, clinical investigators and clinical trial sites to ensure our clinical trials are conducted properly and on time. While we have and will continue to enter into agreements governing their activities, we will have limited influence over their actual performance. We will control only certain aspects of our CROs’ activities. Nevertheless, we will be responsible for ensuring that each of our clinical trials is conducted in accordance with the applicable protocol, legal and regulatory requirements, and scientific standards, and our reliance on the CROs does not relieve us of our regulatory responsibilities.</w:t>
      </w:r>
    </w:p>
    <w:p>
      <w:pPr>
        <w:spacing w:after="0" w:line="183"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We and our investigators and CROs are required to comply with GCPs for conducting, recording and reporting the results of clinical trials to assure that the data and reported results are credible and accurate and that the rights, integrity and confidentiality of clinical trial participants are protected. The FDA enforces GCPs through periodic inspections of study sponsors, principal investigators and clinical trial sites. If we or our investigators and CROs fail to comply with applicable GCPs, the clinical data generated in our future clinical trials may be deemed unreliable and the FDA may require us to perform additional unanticipated clinical trials before approving any marketing applications. Upon inspection, the FDA may determine that our clinical trials did not comply with GCPs. In addition, our future clinical trials will require a sufficient number of test subjects to evaluate the safety and effectiveness of our product candidates. Accordingly, if our investigators and CROs fail to comply with these regulations or fail to recruit a sufficient number of patients, we may be required to repeat such clinical trials, which would delay the regulatory approval process.</w:t>
      </w:r>
    </w:p>
    <w:p>
      <w:pPr>
        <w:spacing w:after="0" w:line="192"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Our investigators and CROs are not our employees, and we are therefore unable to directly monitor whether or not they devote sufficient time and resources to our clinical and preclinical programs. They may also have relationships with other commercial entities, including our competitors, for whom they may also be conducting clinical trials or other drug development activities that could harm our competitive position. If our investigators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 As a result, enrollment and data integrity from monitoring of the trial may suffer, our financial results could be harmed, our costs could increase, our ability to generate revenues could be delayed and the commercial prospects for our product candidates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We rely on third parties to manufacture our product candidates, and we collaborate with both industry and various academic institutions in the development of our discovery platform for therapeutic applications based on tRNA synthetase biology. In connection with these activities, we are required, at times, to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 prospects, financial condition and results of operations.</w:t>
      </w:r>
    </w:p>
    <w:p>
      <w:pPr>
        <w:spacing w:after="0" w:line="194" w:lineRule="exact"/>
        <w:rPr>
          <w:sz w:val="20"/>
          <w:szCs w:val="20"/>
          <w:color w:val="auto"/>
        </w:rPr>
      </w:pPr>
    </w:p>
    <w:p>
      <w:pPr>
        <w:jc w:val="both"/>
        <w:ind w:firstLine="562"/>
        <w:spacing w:after="0" w:line="252"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intellectual property rights to which we are entitled arising from the collaboration. In other cases, publication rights are controlled exclusively by us, although in some cases we may share these rights with other parties. We also conduct joint research and development programs that may require us to share trade secrets under the terms of our research and development partnerships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 prospects, financial condition and results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or protect intellectual property rights related to our product candidates, or if the scope of such intellectual property protection is not sufficiently broad, we may not be able to compete effectively in our markets.</w:t>
      </w:r>
    </w:p>
    <w:p>
      <w:pPr>
        <w:spacing w:after="0" w:line="51"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technologies and product candidates. Our success depends in large part on our and our licensors’ abilities to obtain and maintain patent and other intellectual property protection in the United States and in other countries for our proprietary technology and product candidates.</w:t>
      </w:r>
    </w:p>
    <w:p>
      <w:pPr>
        <w:spacing w:after="0" w:line="176"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We have sought to protect our proprietary position by filing patent applications in the United States and abroad related to our novel technologies and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0" w:lineRule="exact"/>
        <w:rPr>
          <w:sz w:val="20"/>
          <w:szCs w:val="20"/>
          <w:color w:val="auto"/>
        </w:rPr>
      </w:pPr>
    </w:p>
    <w:p>
      <w:pPr>
        <w:jc w:val="both"/>
        <w:ind w:firstLine="562"/>
        <w:spacing w:after="0" w:line="252" w:lineRule="auto"/>
        <w:rPr>
          <w:sz w:val="20"/>
          <w:szCs w:val="20"/>
          <w:color w:val="auto"/>
        </w:rPr>
      </w:pPr>
      <w:r>
        <w:rPr>
          <w:rFonts w:ascii="Times New Roman" w:cs="Times New Roman" w:eastAsia="Times New Roman" w:hAnsi="Times New Roman"/>
          <w:sz w:val="18"/>
          <w:szCs w:val="18"/>
          <w:color w:val="auto"/>
        </w:rPr>
        <w:t>The patentability of inventions, and the validity, enforceability and scope of patents in the biotechnology and pharmaceutical fields involves complex legal and scientific questions and can be uncertain. As a result, patent applications that we own or in-license may not issue as patents with claims that cover our product candidates, or at all, in the United States or in foreign countries for many reasons. For example, there is no assurance that we were the first to invent or the first to file patent applications in respect of the inventions claimed in our patent applications or that our patent applications claim patentable subject matter. We may also be unaware of potentially relevant prior art relating to our patents and patent applications, and this prior art, if any, may be used by third parties as grounds to seek to invalidate a patent or to prevent a patent from issuing from a pending patent application. Even if patents do successfully issue and even if such patents disclose aspects of our product candidates, third parties may challenge their validity, enforceability or scope, which may result in such patents being narrowed or invalidated. Furthermore, even if they are unchallenged, our patents and patent applications may not adequately protect our intellectual property, provide exclusivity for our product candidates or prevent others from designing around our claims. If the breadth or strength of protection provided by the patents and patent applications we hold, license or pursue with respect to our product candidates is threatened, it could threaten our ability to commercialize our product candidates. Further, if we encounter delays in our clinical trials, the period of time during which we could market any of our product candidates under patent protection, if approved, would be reduced. Since patent applications in the United States and most other countries are confidential for a period of time after filing, we cannot be certain that we were the first to file any patent application related to our product candidates. Changes to the patent laws in the United States and other jurisdictions could also diminish the value of our patents and patent applications or narrow the scope of our patent protection. Any of these outcomes could impair our ability to prevent competition from third parties, which may have an adverse effect on our business.</w:t>
      </w:r>
    </w:p>
    <w:p>
      <w:pPr>
        <w:spacing w:after="0" w:line="195" w:lineRule="exact"/>
        <w:rPr>
          <w:sz w:val="20"/>
          <w:szCs w:val="20"/>
          <w:color w:val="auto"/>
        </w:rPr>
      </w:pPr>
    </w:p>
    <w:p>
      <w:pPr>
        <w:jc w:val="both"/>
        <w:ind w:firstLine="562"/>
        <w:spacing w:after="0" w:line="252" w:lineRule="auto"/>
        <w:rPr>
          <w:sz w:val="20"/>
          <w:szCs w:val="20"/>
          <w:color w:val="auto"/>
        </w:rPr>
      </w:pPr>
      <w:r>
        <w:rPr>
          <w:rFonts w:ascii="Times New Roman" w:cs="Times New Roman" w:eastAsia="Times New Roman" w:hAnsi="Times New Roman"/>
          <w:sz w:val="18"/>
          <w:szCs w:val="18"/>
          <w:color w:val="auto"/>
        </w:rPr>
        <w:t>If the patent applications we own or have in-licensed that relate to our programs or product candidates do not issue as patents, if their breadth or strength of protection is threatened, or if they fail to provide exclusivity for our product candidates, it could dissuade companies from collaborating with us to develop product candidates, and threaten our ability to commercialize future products. We cannot offer any assurances about which, if any, patents will issue, the breadth of any such patents or whether any issued patents will be found invalid and unenforceable or will be threatened by third parties. Any successful opposition to these patents or any other patents owned by or licensed to us could deprive us of rights necessary for the successful commercialization of any product candidates that we may develop. In addition, patents have a limited term. In the United States, the natural expiration of a patent is generally 20 years after it is filed. Although various extensions may be available, the life of a patent, and the protection it affords, is limited. Even if a patent does issue for any of our pending patent applications, possible delays in regulatory approvals could mean that the period of time during which we could market a product candidate under patent protection could be reduced from what we generally would expect. Since patent applications in the United States and most other countries are confidential for a period of time after filing, and some remain so until issued, we cannot be certain that we were the first to file any patent application related to a product candidate. Furthermore, if third parties have filed such patent applications, an interference proceeding in the United States can be initiated by a third party to determine who was the first to invent any of the subject matter covered by the patent claims of our applications. Even if patents covering aspects of our product candidates are obtained, once the patent life has expired for a product, we may be open to competition from generic medications.</w:t>
      </w:r>
    </w:p>
    <w:p>
      <w:pPr>
        <w:spacing w:after="0" w:line="197"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but it is possible that these security measures could be breached. Although we expect all of our employees and consultants to assign their inventions to us, and all of our employees, consultants, advisors and any third parties who have access to our proprietary know-how, information or technology to enter into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0" w:name="page41"/>
    <w:bookmarkEnd w:id="40"/>
    <w:p>
      <w:pPr>
        <w:jc w:val="both"/>
        <w:spacing w:after="0" w:line="253" w:lineRule="auto"/>
        <w:rPr>
          <w:sz w:val="20"/>
          <w:szCs w:val="20"/>
          <w:color w:val="auto"/>
        </w:rPr>
      </w:pPr>
      <w:r>
        <w:rPr>
          <w:rFonts w:ascii="Times New Roman" w:cs="Times New Roman" w:eastAsia="Times New Roman" w:hAnsi="Times New Roman"/>
          <w:sz w:val="18"/>
          <w:szCs w:val="18"/>
          <w:color w:val="auto"/>
        </w:rPr>
        <w:t>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Misappropriation or unauthorized disclosure of our trade secrets could impair our competitive position and may have a material adverse effect on our business. Additionally, if the steps we take to maintain the confidentiality of our trade secrets are inadequate, we may have insufficient recourse against third parties for misappropriating our proprietary information and processes.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w:t>
      </w:r>
    </w:p>
    <w:p>
      <w:pPr>
        <w:spacing w:after="0" w:line="194"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 xml:space="preserve">If due to the effects on our operations of general political and economic conditions, including global geopolitical tension, armed conflicts, potential future health pandemics, labor shortages, economic slowdowns, recessions or market corrections, inflation and monetary supply shifts, higher interest rates and tightening of credit markets, or another cause, we are unable to generate new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in time to support new, or updated patent application filings, or prior to patent conversion deadlines, it could materially impact the enforceability or scope of those patent filings.</w:t>
      </w:r>
    </w:p>
    <w:p>
      <w:pPr>
        <w:spacing w:after="0" w:line="180" w:lineRule="exact"/>
        <w:rPr>
          <w:sz w:val="20"/>
          <w:szCs w:val="20"/>
          <w:color w:val="auto"/>
        </w:rPr>
      </w:pPr>
    </w:p>
    <w:p>
      <w:pPr>
        <w:jc w:val="both"/>
        <w:ind w:right="20" w:firstLine="562"/>
        <w:spacing w:after="0" w:line="266" w:lineRule="auto"/>
        <w:rPr>
          <w:sz w:val="20"/>
          <w:szCs w:val="20"/>
          <w:color w:val="auto"/>
        </w:rPr>
      </w:pPr>
      <w:r>
        <w:rPr>
          <w:rFonts w:ascii="Times New Roman" w:cs="Times New Roman" w:eastAsia="Times New Roman" w:hAnsi="Times New Roman"/>
          <w:sz w:val="18"/>
          <w:szCs w:val="18"/>
          <w:color w:val="auto"/>
        </w:rPr>
        <w:t>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176"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Further, the laws of some foreign countries do not protect proprietary rights to the same extent or in the same manner as the laws of the United States. As a result, we may encounter significant problems in preventing third parties from practicing our inventions in countries outside the United States, or from selling or importing products made using our inventions in and into the United States or other jurisdictions.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that our product candidates or the manufacture, sale or use of our future products infringe the patent or other intellectual property rights of third parties could result in costly litigation or could require substantial time and money to resolve, even if litigation is avoided.</w:t>
      </w:r>
    </w:p>
    <w:p>
      <w:pPr>
        <w:spacing w:after="0" w:line="51"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inter partes reexamination proceedings before the United States Patent and Trademark Office (USPTO)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89"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formulations for, or the manufacturing process or methods of use of, any of our product candidates, any molecules formed during the manufacturing process or any final product itself, the holders of any such patents may be able to block our ability to develop and commercialize such product candidate unless we obtained a license under the applicable patents, or until such patents expire. In either case, such a license may not be available on commercially reasonable terms or at all.</w:t>
      </w:r>
    </w:p>
    <w:p>
      <w:pPr>
        <w:spacing w:after="0" w:line="192"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not be able to be obtained on reasonable commercial terms or at all, or require substantial time and monetary expenditure.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Patent terms may be inadequate to protect our competitive position on our product candidates for an adequate amount of time.</w:t>
      </w:r>
    </w:p>
    <w:p>
      <w:pPr>
        <w:spacing w:after="0" w:line="121"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222222"/>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222222"/>
        </w:rPr>
        <w:t>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therapeutic product candidates and processes for our development pipeline through acquisitions and in-licenses.</w:t>
      </w:r>
    </w:p>
    <w:p>
      <w:pPr>
        <w:spacing w:after="0" w:line="51"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We believe that we have rights to intellectual property, through licenses from third parties and under patents that we own, that is necessary or useful to develop our product candidates. Because our programs may involve additional product candidates that may require the use of proprietary rights held by third parties, the growth of our business will likely depend in part on our ability to acquire, in-license or use these proprietary rights. In addition, our product candidates may require specific formulations to work effectively and efficiently and these rights may be held by others. We may be unable to acquire or in-license any compositions, methods of use, processes or other third-party intellectual property rights from third parties that we identify on reasonable commercial terms or at all.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18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We sometimes collaborate with U.S. and foreign academic institutions to accelerate our preclinical research or development under written agreements with these institutions. These institutions may provide us with an option to negotiate a license to the institution’s rights in technology resulting from the collaboration. Regardless of any such right of first negotiation for intellectual property,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183"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our business, financial condition and prospects for growth could suffer.</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5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the licensor may have the right to terminate the license, in which event we would not be able to market products covered by the license.</w:t>
      </w:r>
    </w:p>
    <w:p>
      <w:pPr>
        <w:spacing w:after="0" w:line="180"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and we have done so from time to time. We may fail to obtain any of these licenses at a reasonable cost or on reasonable commercial terms, if at all. In that event, we may be required to expend significant time and resources to develop or license replacement technology. If we are unable to do so, we may be unable to develop or commercialize the affected product candidates, which could harm our business significantly.</w:t>
      </w:r>
    </w:p>
    <w:p>
      <w:pPr>
        <w:spacing w:after="0" w:line="180"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In some cases, patent prosecution of our licensed technology is controlled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such intellectual property. In certain cases, we may control the prosecution of patents resulting from licensed technology. In the event we breach any of our obligations related to such prosecution, we may incur significant liability to our licensors. Licensing of intellectual property is of critical importance to our business and involves complex legal, business and scientific issues and is complicated by the rapid pace of scientific discovery in our industry. Disputes may arise regarding intellectual property subject to a license agreement, including:</w:t>
      </w:r>
    </w:p>
    <w:p>
      <w:pPr>
        <w:spacing w:after="0" w:line="81" w:lineRule="exact"/>
        <w:rPr>
          <w:sz w:val="20"/>
          <w:szCs w:val="20"/>
          <w:color w:val="auto"/>
        </w:rPr>
      </w:pPr>
    </w:p>
    <w:p>
      <w:pPr>
        <w:ind w:left="1020" w:hanging="368"/>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license agreement;</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ind w:left="1020" w:hanging="368"/>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sublicensees or partners, if any; and</w:t>
      </w:r>
    </w:p>
    <w:p>
      <w:pPr>
        <w:spacing w:after="0" w:line="53"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the patents of our licensors, which could be expensive, time-consuming and unsuccessful.</w:t>
      </w:r>
    </w:p>
    <w:p>
      <w:pPr>
        <w:spacing w:after="0" w:line="51"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the patents of our licensors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of ours or our licensors is not valid, is unenforceable 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89"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may be necessary to determine the priority of inventions or other matters of inventorship with respect to our patents or patent applications or those of our licensors.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187"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51"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121"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ownership interest in our patents or other intellectual property. For example, we may have inventorship disputes arise from conflicting obligations of consultants or others who are involved in developing our product candidates. Litigation may be necessary to defend against these and other claims challenging inventorship or ownership, or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if we are successful in defending against such claims, litigation could result in substantial costs and be a distraction to management and other employees.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or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fees due to non-U.S. patent agencies. The USPTO and various non-U.S. governmental patent agencies require compliance with a number of procedural, documentary, fee payment and other similar provisions during the patent application process. We employ law firms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w:t>
      </w:r>
    </w:p>
    <w:p>
      <w:pPr>
        <w:spacing w:after="0" w:line="121"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If we or one of our licensors initiated legal proceedings against a third party to enforce a patent covering one of our product candidates,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 candidates. Such a loss of patent protection would have a material adverse effect on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products.</w:t>
      </w:r>
    </w:p>
    <w:p>
      <w:pPr>
        <w:spacing w:after="0" w:line="121"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many other biotechnology companies, our success is heavily dependent on intellectual property, particularly patents. Obtaining and enforcing patents in the biotechnology industry involve both technological and legal complexity, and therefore obtaining, maintaining and enforcing biotechnology patents is costly, time-consuming and inherently uncertain. In addition, recent legislative and judicial developments in the United States and elsewhere have in some cases removed the protection afforded to patent owners, made patents more difficult to obtain, or increased the uncertainty regarding the ability to obtain, maintain and enforce patents. For example, Congress has recently passed, and the United States is currently implementing, wide-ranging patent reform legislation, and may pass further patent reform legislation in the future. Recent U.S. Supreme Court rulings have narrowed the scope of patent protection available in certain circumstances and weakened the rights of patent owners in certain situations. For example, in </w:t>
      </w:r>
      <w:r>
        <w:rPr>
          <w:rFonts w:ascii="Times New Roman" w:cs="Times New Roman" w:eastAsia="Times New Roman" w:hAnsi="Times New Roman"/>
          <w:sz w:val="18"/>
          <w:szCs w:val="18"/>
          <w:i w:val="1"/>
          <w:iCs w:val="1"/>
          <w:color w:val="auto"/>
        </w:rPr>
        <w:t>Association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Molecular Pathology v. Myriad Genetics, Inc.</w:t>
      </w:r>
      <w:r>
        <w:rPr>
          <w:rFonts w:ascii="Times New Roman" w:cs="Times New Roman" w:eastAsia="Times New Roman" w:hAnsi="Times New Roman"/>
          <w:sz w:val="18"/>
          <w:szCs w:val="18"/>
          <w:color w:val="auto"/>
        </w:rPr>
        <w:t>, the U.S. Supreme Court held that certain claims to naturally occurring substances are not patentable.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Although we do not believe that any of the patents owned or licensed by us will be found invalid based on this decision, we cannot predict how future decisions by the courts, Congress, or the USPTO may impact the value of our patents. In addition to increasing uncertainty with regard to our ability to obtain patents in the future, this combination of events has created uncertainty with respect to the value of patents generally, once obtained. Depending on decisions and actions by Congress, the federal courts, the USPTO and their respective foreign counterparts, the laws and regulations governing patents could change in unpredictable ways that would weaken our ability to obtain new patents or to maintain and enforce our existing patents and patents that we might obtain in the future.</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validity or defense of our issued patents.</w:t>
      </w:r>
    </w:p>
    <w:p>
      <w:pPr>
        <w:spacing w:after="0" w:line="51"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On September 16, 2011, the Leahy-Smith America Invents Act (the Leahy-Smith Act) was signed into law. The Leahy-Smith Act includes a number of significant changes to U.S. patent law, including provisions that affect the way patent applications will be prosecuted and may also affect patent litigation. The USPTO is developing regulations and procedures to govern administration of the Leahy-Smith Act, and many of the substantive changes to patent law associated with the Leahy-Smith Act, and in particular, the first to file provisions, were enacted March 16, 2013. Although it is not clear what, if any, impact the Leahy-Smith Act will have on the operation of our business, the Leahy-Smith Act and its implementation could increase the uncertainties and costs surrounding the prosecution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our patent applications and the enforcement or defense of our issued patents, all of which could have a material adverse effect on our business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92"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use our financial and human resources to pursue a particular business strategy, research program or product candidate and fail to capitalize on strategies, programs or product candidates that may be more profitable or for which there is a greater likelihood of success.*</w:t>
      </w:r>
    </w:p>
    <w:p>
      <w:pPr>
        <w:spacing w:after="0" w:line="51" w:lineRule="exact"/>
        <w:rPr>
          <w:sz w:val="20"/>
          <w:szCs w:val="20"/>
          <w:color w:val="auto"/>
        </w:rPr>
      </w:pPr>
    </w:p>
    <w:p>
      <w:pPr>
        <w:jc w:val="both"/>
        <w:ind w:firstLine="469"/>
        <w:spacing w:after="0" w:line="252" w:lineRule="auto"/>
        <w:rPr>
          <w:sz w:val="20"/>
          <w:szCs w:val="20"/>
          <w:color w:val="auto"/>
        </w:rPr>
      </w:pPr>
      <w:r>
        <w:rPr>
          <w:rFonts w:ascii="Times New Roman" w:cs="Times New Roman" w:eastAsia="Times New Roman" w:hAnsi="Times New Roman"/>
          <w:sz w:val="18"/>
          <w:szCs w:val="18"/>
          <w:color w:val="auto"/>
        </w:rPr>
        <w:t>Because we have limited resources, we may forego or delay pursuit of certain strategic opportunities or opportunities with certain programs, product candidates or indications that later prove to have greater commercial potential. We may focus on or pursue one indication over another potential indication and such development efforts may not be successful, which would cause us to delay the clinical development and approval of efzofitimod and other product candidates. In addition, our decisions as to which of our discovery programs to advance into preclinical and clinical development could preclude us from advancing others. Our resource allocation decisions may cause us to fail to capitalize on viable commercial products or profitable market opportunities. For example, based on analysis from an independent consultant that we engaged during 2022 and our own modeling, we estimate that there is a $2-3 billion dollar market opportunity in pulmonary sarcoidosis and SSc-ILD. Depending on the accuracy of this estimate, we may not be most efficiently allocating resources toward the advancement of efzofitimod versus the advancement of other development efforts. In addition, we may elect to pursue a research, clinical or commercial strategy that ultimately does not yield the results that we desire. Our spending on current and future research and development programs for product candidates may not result in any commercially viable products. If we do not accurately evaluate the commercial potential or target market for a particular product candidate, we may relinquish valuable rights to that product candidate through strategic collaboration, licensing or other royalty arrangements in cases in which it would have been more advantageous for us to retain sole development and commercialization rights to such product candidate, or we may allocate internal resources to a product candidate in a therapeutic area or market in which it would have been more advantageous to enter into a partnering arrangement. Any failure to allocate resources or capitalize on strategies in a successful manner will have an adverse impact on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12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We are highly dependent on principal members of our executive team, the loss of whose services may adversely impact the achievement of our objectives. While we have entered into employment agreements with each of our executive officers, any of them could leave our employment at any time, as all of our employees are “at will” employees. Recruiting and retaining other qualified employees, consultants and advisors for our business, including scientific and technical personnel, will also be critical to our success.</w:t>
      </w:r>
    </w:p>
    <w:p>
      <w:pPr>
        <w:spacing w:after="0" w:line="180" w:lineRule="exact"/>
        <w:rPr>
          <w:sz w:val="20"/>
          <w:szCs w:val="20"/>
          <w:color w:val="auto"/>
        </w:rPr>
      </w:pPr>
    </w:p>
    <w:p>
      <w:pPr>
        <w:jc w:val="both"/>
        <w:ind w:firstLine="606"/>
        <w:spacing w:after="0" w:line="266" w:lineRule="auto"/>
        <w:rPr>
          <w:sz w:val="20"/>
          <w:szCs w:val="20"/>
          <w:color w:val="auto"/>
        </w:rPr>
      </w:pPr>
      <w:r>
        <w:rPr>
          <w:rFonts w:ascii="Times New Roman" w:cs="Times New Roman" w:eastAsia="Times New Roman" w:hAnsi="Times New Roman"/>
          <w:sz w:val="18"/>
          <w:szCs w:val="18"/>
          <w:color w:val="231F20"/>
        </w:rPr>
        <w:t xml:space="preserve">In response to competition, higher rates of inflation and labor shortages, we may need to adjust employee cash compensation, which would affect our operating costs and our margins, or equity compensation, which would affect our outstanding share count and cause dilution to existing stockholders. </w:t>
      </w:r>
      <w:r>
        <w:rPr>
          <w:rFonts w:ascii="Times New Roman" w:cs="Times New Roman" w:eastAsia="Times New Roman" w:hAnsi="Times New Roman"/>
          <w:sz w:val="18"/>
          <w:szCs w:val="18"/>
          <w:color w:val="000000"/>
        </w:rPr>
        <w:t>We may not be able to attract and retain personnel on acceptable terms given the competition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18"/>
          <w:szCs w:val="18"/>
          <w:color w:val="auto"/>
        </w:rPr>
        <w:t>among numerous pharmaceutical and biotechnology companies for individuals with similar skill sets. In addition, the available pool of skilled employees may be further reduced if immigration laws change in a manner that increases restrictions on immigration. Further, failure to succeed in preclinical studies or clinical trials may make it more challenging to recruit and retain qualified personnel. The inability to recruit or loss of the services of any executive, key employee, consultant or advisor may impede the progress of our research, development and commercialization objectives.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51"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From time to time, we may undertake internal restructuring activities as we continue to evaluate and attempt to optimize our cost and operating structure in light of developments in our business strategy and long-term operating plans. Any such restructuring activities may result in write-offs or other restructuring charges. There can be no assurance that any restructuring activities that we have undertaken or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any internal restructuring activities we have undertaken or undertake in the future fail to achieve some or all of the expected benefits therefrom, our business, results of operations and financial condition could be materially and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risks associated with international operations that could materially adversely affect our business.*</w:t>
      </w:r>
    </w:p>
    <w:p>
      <w:pPr>
        <w:spacing w:after="0" w:line="121" w:lineRule="exact"/>
        <w:rPr>
          <w:sz w:val="20"/>
          <w:szCs w:val="20"/>
          <w:color w:val="auto"/>
        </w:rPr>
      </w:pPr>
    </w:p>
    <w:p>
      <w:pPr>
        <w:jc w:val="both"/>
        <w:ind w:firstLine="562"/>
        <w:spacing w:after="0" w:line="252" w:lineRule="auto"/>
        <w:rPr>
          <w:sz w:val="20"/>
          <w:szCs w:val="20"/>
          <w:color w:val="auto"/>
        </w:rPr>
      </w:pPr>
      <w:r>
        <w:rPr>
          <w:rFonts w:ascii="Times New Roman" w:cs="Times New Roman" w:eastAsia="Times New Roman" w:hAnsi="Times New Roman"/>
          <w:sz w:val="18"/>
          <w:szCs w:val="18"/>
          <w:color w:val="auto"/>
        </w:rPr>
        <w:t>We currently conduct certain research activities through Pangu BioPharma Limited, in collaboration with the Hong Kong University of Science and Technology. Additionally, we have conducted clinical trials in the EU and in Australia and may conduct future clinical trials internationally. Our partner, Kyorin, conducted and funded an efzofitimod Phase 1 clinical trial in healthy volunteers in Japan, and has joined the EFZO-FIT study, a global Phase 3 clinical trial in which we have enrolled 268 subjects at multiple centers in United States, Europe, Brazil and Japan. If any of our product candidates are approved for commercialization outside of the United States, we expect to either use our own sales organization or selectively enter into agreements with third parties to market our products on a worldwide basis or in more limited geographical regions, as with Kyorin and efzofitimod in Japan. We are, and we expect that we will continue to be, subject to a variety of risks related to international operations, including, but not limited to: liquidity concerns at, and failures of, banks and other financial institutions or other disruptions in the banking system or financing markets; different regulatory requirements for approval of drugs and biologics in foreign countries; reduced or uncertain protection for intellectual property; unexpected changes in tariffs, trade barriers and regulatory requirements; economic weakness, including labor shortages, economic slowdowns, recessions, inflation, monetary supply shifts, higher interest rates and tightening of credit markets; political instability in particular foreign economies and markets, including global geopolitical tension and armed conflicts; compliance with tax, employment, immigration and labor laws for employees living or traveling abroad; foreign currency fluctuations, which could result in reduced revenues and other obligations incident to doing business in another country; and the global impacts of potential future health pandemics.</w:t>
      </w:r>
    </w:p>
    <w:p>
      <w:pPr>
        <w:spacing w:after="0" w:line="157"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Any failure to continue our international operations or to commercialize our product candidates outside of the United States may impair our ability to generate revenues and harm our business, prospects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the regulations of the FDA and non-U.S. regulators, provide accurate information to the FDA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significant regulatory sanctions and cause serious harm to our reputation. We have adopted a code of business conduct and ethics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and, if successful claims are brought against us, we may incur substantial liability and costs. If the use of our product candidates harm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use of our product candidates in clinical trials and the sale of any products for which we obtain marketing approval exposes us to the risk of product liability claims. Product liability claims might be brought against us by patients,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75" w:lineRule="exact"/>
        <w:rPr>
          <w:sz w:val="20"/>
          <w:szCs w:val="20"/>
          <w:color w:val="auto"/>
        </w:rPr>
      </w:pP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business reputation;</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due to related litigation;</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117"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if approved for commercial sale.</w:t>
      </w:r>
    </w:p>
    <w:p>
      <w:pPr>
        <w:spacing w:after="0" w:line="225"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We carry product liability insurance for our clinical trials covering $10.0 million per occurrence and up to $10.0 million in the aggregate, subject to certain deductibles and exclusions. Although we believe the amount of our insurance coverage is typical for companies similar to us in our industry, we may not have adequate insurance coverage or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adversely affect our reputation and, if judgments exceed our insurance coverage, could adversely affect our results of operations and business.</w:t>
      </w:r>
    </w:p>
    <w:p>
      <w:pPr>
        <w:spacing w:after="0" w:line="192"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Patients with the diseases targeted by our product candidates are often already in severe and advanced stages of disease and may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or may become, subject to stringent and evolving U.S. and foreign laws, regulations, rules, policies, contractual obligations, industry standards, and other obligations related to data privacy and security. Our actual or perceived failure to comply with such obligations could have a material adverse effect on our business and financial condition, including a disruption of clinical trials or commercialization of products; regulatory investigations or actions; litigation (including class claims) and mass arbitration demands; fines and penalties; reputational harm; loss of revenue or profits; and other adverse business consequences.*</w:t>
      </w:r>
    </w:p>
    <w:p>
      <w:pPr>
        <w:spacing w:after="0" w:line="75"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We collect, receive, store, process, use, generate, transfer, disclose, make accessible, protect, secure, dispose of, transmit and share (Process or Processing) personal data and other sensitive information, including information we or the third parties with whom we work (such as CROs and clinical trial sites) collect about patients and healthcare providers in connection with clinical trials necessary to operate our business.</w:t>
      </w:r>
    </w:p>
    <w:p>
      <w:pPr>
        <w:spacing w:after="0" w:line="176"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Therefore, our data Processing activities subject us to numerous data privacy and security laws, regulations, rules, guidance, and industry standards as well as external and internal data privacy and security policies, contractual requirements and other obligations that apply to the Processing of personal (and other sensitive) data both by us and the third parties with whom we work (collectively, Data Protection Requirements). The number and scope of the Data Protection Requirements are changing, becoming increasingly stringent, creating uncertainty, subject to differing applications and interpretations, and may be inconsistent between jurisdictions. These Data Protection Requirements may require us to change our business model. New Data Protection Requirements may be proposed or enacted. Additionally, given the breadth and evolving nature of Data Protection Requirements (and consumers’ data privacy expectations),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7" w:name="page48"/>
    <w:bookmarkEnd w:id="47"/>
    <w:p>
      <w:pPr>
        <w:jc w:val="both"/>
        <w:spacing w:after="0" w:line="261" w:lineRule="auto"/>
        <w:rPr>
          <w:sz w:val="20"/>
          <w:szCs w:val="20"/>
          <w:color w:val="auto"/>
        </w:rPr>
      </w:pPr>
      <w:r>
        <w:rPr>
          <w:rFonts w:ascii="Times New Roman" w:cs="Times New Roman" w:eastAsia="Times New Roman" w:hAnsi="Times New Roman"/>
          <w:sz w:val="18"/>
          <w:szCs w:val="18"/>
          <w:color w:val="auto"/>
        </w:rPr>
        <w:t>preparing for and complying with these requirements is rigorous, time-intensive and requires significant resources and a review of our technologies, systems and practices, as well as those of any third-party with whom we work. We may at times fail (or be perceived to have failed) in our efforts to comply with our Data Protection Requirements. Moreover, despite our efforts, our personnel or third parties with whom we work may fail to comply with such obligations, which could negatively impact our business operations and compliance posture.</w:t>
      </w:r>
    </w:p>
    <w:p>
      <w:pPr>
        <w:spacing w:after="0" w:line="180"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If we or the third parties with whom we work fail, or are perceived to have failed, to address or comply with Data Protection Requirements, this could result in government enforcement actions against us that could include investigations, fines, penalties, audits and inspections, additional reporting requirements and/or oversight, temporary or permanent bans on all or some Processing of personal data, or orders to destroy or not use personal data. Further, individuals or other relevant stakeholders could bring a variety of claims (including class claims and mass arbitration demands) against us for our actual or perceived failure to comply with the Data Protection Requirements.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and could lead to a loss of actual or prospective customers, or third parties with whom we work; interrupt or stop our clinical trials; result in an inability to Process personal data or to operate in certain jurisdictions; limit our ability to develop or commercialize our products; require us to revise, restructure or substantially change our operations; or otherwise materially adversely affect our operations (each, a Material Adverse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-440055</wp:posOffset>
            </wp:positionV>
            <wp:extent cx="285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72"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California residents to exercise certain privacy rights, such as those noted below. The CCPA provides for fines of up to $7,500 per intentional violation and allows private litigants affected by certain data breaches to recover significant statutory damages. Although the CCPA exempts some data Processed in the context of clinical trials, the CCPA may increase compliance costs and potential liability with respect to other personal data maintained about California residents. In addition, the CPRA expanded the CCPA’s requirements and established a regulatory agency to implement and enforce the law. Other states have also passed or are considering comprehensive privacy laws, with actions also being considered at the federal and local levels. These state laws and the CCPA provide individuals with certain rights concerning their personal data, including the right to access, correct, or delete certain personal data, and opt-out of certain data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may further complicate compliance efforts, and may increase legal risk and compliance costs for us and the third parties with whom we work.</w:t>
      </w:r>
    </w:p>
    <w:p>
      <w:pPr>
        <w:spacing w:after="0" w:line="197"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the European Union’s General Data Protection Regulation (EU GDPR), the United Kingdom’s GDPR (UK GDPR), Brazil’s General Data Protection Law (Lei Geral de Proteção de Dados Pessoais, or LGPD) (Law No. 13,709/2018) and China's Personal Information Protection Law (“PIPL”) impose strict requirements for Processing personal data</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We may become subject to an increasing number of foreign privacy laws, particularly as we have begun to sponsor clinical trials in foreign jurisdictions, including in Europe. For example, failure to comply with the requirements of the EU and UK GDPR may result in warning letters, litigation, orders banning the Processing of personal data, mandatory audits and financial penalties, including fines of up to 4% of the total worldwide annual turnover, or €20,000,000 under the EU GDPR (17,500,000 British Pounds under the UK GDPR), in either case, whichever is greater; or private litigation related to Processing of personal data brought by classes of data subjects or consumer protection organizations authorized at law to represent their interests. Kyorin has also enrolled clinical trial patients in Japan and may be subject to local laws and regulations regarding data privacy, including Japan’s Act on the Protection of Personal Information. As another example, the LGPD broadly regulates Processing personal data of individuals in Brazil and imposes compliance obligations and penalties comparable to those of the EU GDPR.</w:t>
      </w:r>
    </w:p>
    <w:p>
      <w:pPr>
        <w:spacing w:after="0" w:line="192"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for relevant U.S.-based organizations who self-certify compliance and participate in the Framework)</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these mechanisms are subject to legal challenges, and there is no assurance that we can satisfy or rely on these measures to lawfully transfer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spacing w:after="0" w:line="254" w:lineRule="auto"/>
        <w:rPr>
          <w:sz w:val="20"/>
          <w:szCs w:val="20"/>
          <w:color w:val="auto"/>
        </w:rPr>
      </w:pPr>
      <w:r>
        <w:rPr>
          <w:rFonts w:ascii="Times New Roman" w:cs="Times New Roman" w:eastAsia="Times New Roman" w:hAnsi="Times New Roman"/>
          <w:sz w:val="18"/>
          <w:szCs w:val="18"/>
          <w:color w:val="auto"/>
        </w:rPr>
        <w:t>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EU and UK GDPR’s cross-border data transfer limitations.</w:t>
      </w:r>
    </w:p>
    <w:p>
      <w:pPr>
        <w:spacing w:after="0" w:line="192"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Our employees and personnel use generative artificial intelligence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0"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In addition to data privacy and security laws, we are contractually subject to industry standards adopted by industry groups and, we are, or may become subject to such obligations in the future. We are also bound by contractual obligations related to data privacy and security, and our efforts to comply with such obligations may not be successful. For example, certain privacy laws, such as the EU and UK GDPR and the CCPA, may require our customers to impose specific contractual restrictions on their service providers. We also publish privacy policies, marketing materials and other statements, such as compliance with certain certifications,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macroeconomic conditions could adversely affect our business, financial condition or results of operations.</w:t>
      </w:r>
    </w:p>
    <w:p>
      <w:pPr>
        <w:spacing w:after="0" w:line="121"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caused volatility and disruptions in the capital and credit markets. In addition, due to general political and economic conditions, including global geopolitical tension, armed conflicts, liquidity concerns at, and failures of, banks and other financial institutions or other disruptions in the banking system or financing markets, higher interest rates and financial and credit market fluctuations, volatility in the capital markets, the global credit and financial markets have experienced extreme volatility and disruptions, including diminished liquidity and credit availability, declines in consumer confidence, declines in economic growth, volatility in unemployment rates, inflation and uncertainty about economic stability. A severe or prolonged economic downturn, such as the global financial crisis, could result in a variety of risks to our business, including inability to raise additional capital when needed on acceptable terms, if at all. A weak or declining economy could also strain our CDMOs and CROs, possibly resulting in supply disruption. Any of the foregoing could harm our business and we cannot anticipate all of the ways in which the current economic climate and financial market conditions could adversely impact our business.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droughts, floods, fires, hurricanes or other natural disasters and our business continuity and disaster recovery plans may not adequately protect us from a serious disaster.</w:t>
      </w:r>
    </w:p>
    <w:p>
      <w:pPr>
        <w:spacing w:after="0" w:line="51" w:lineRule="exact"/>
        <w:rPr>
          <w:sz w:val="20"/>
          <w:szCs w:val="20"/>
          <w:color w:val="auto"/>
        </w:rPr>
      </w:pPr>
    </w:p>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We are located in San Diego, California and our manufacturing activities are conducted by CDMOs and our clinical trials are conducted at various locations in the United States and abroad. Some of these geographic locations have in the past experienced natural disasters, including severe earthquakes. Earthquakes, droughts, floods, fires, hurricanes, disease epidemics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facilities, that damaged critical infrastructure, such as the manufacturing facilities of our CDMOs and clinical sites utilized by our CROs,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as well as limits on our insurance coverage, which could have a material adverse effect on our business, prospects,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agreements with third parties to market and sell our product candidates, we may be unable to generate any revenues.</w:t>
      </w:r>
    </w:p>
    <w:p>
      <w:pPr>
        <w:spacing w:after="0" w:line="51"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We do not currently have any infrastructure for the sales, marketing and distribution of pharmaceutical products. In order to market our product candidates, if approved by the FDA or any other regulatory body, we must build our sales, marketing, distribution, managerial and other non-technical capabilities or make arrangements with third parties to perform these services. There are risks involved with both establishing our own sales and marketing capabilities and entering into arrangements with third parties to perform</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color w:val="auto"/>
        </w:rPr>
        <w:t>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0"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If we enter into arrangements or collaborations with third parties to perform sales, marketing and distribution services, our product revenues or the profitability of these product revenues to us are likely to be lower than if we were to market, sell or distribute any medicines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manufacturers to produce our product candidates, but we have not entered into agreements with any such manufacturers to support commercialization.</w:t>
      </w:r>
    </w:p>
    <w:p>
      <w:pPr>
        <w:spacing w:after="0" w:line="5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We have not yet secured manufacturing capabilities for commercial quantities of any of our product candidates. Although we intend to rely on third-party manufacturers for commercialization, we have not yet entered into a long-term commercial supply agreement to support full scale commercial production, and we or our CDMOs may be unable to process validation activities necessary to enter into commercial supply agreements or otherwise negotiate agreements with the manufacturers to support our commercialization activities at commercially reasonable terms.</w:t>
      </w:r>
    </w:p>
    <w:p>
      <w:pPr>
        <w:spacing w:after="0" w:line="180"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 xml:space="preserve">We may run into technical or scientific issues related to development or manufacturing that we may be unable to resolve in a timely manner or with available funds. For example, we engaged an additional CDMO to manufacture efzofitimod bulk drug substance. If the new CDMO experiences delays in validating the manufacturing process, particularly delays in producing efzofitimod in compliance with cGMP regulations, we could be forced to delay future clinical trials or the submission of regulatory approval applications to the FDA. In addition, due to the fact that all prior cGMP batches of efzofitimod, including those that we intend to use in the EFZO-FIT </w:t>
      </w:r>
      <w:r>
        <w:rPr>
          <w:rFonts w:ascii="Times New Roman" w:cs="Times New Roman" w:eastAsia="Times New Roman" w:hAnsi="Times New Roman"/>
          <w:sz w:val="18"/>
          <w:szCs w:val="18"/>
          <w:color w:val="202720"/>
        </w:rPr>
        <w:t>study</w:t>
      </w:r>
      <w:r>
        <w:rPr>
          <w:rFonts w:ascii="Times New Roman" w:cs="Times New Roman" w:eastAsia="Times New Roman" w:hAnsi="Times New Roman"/>
          <w:sz w:val="18"/>
          <w:szCs w:val="18"/>
          <w:color w:val="auto"/>
        </w:rPr>
        <w:t>, have been produced by our existing CDMO, we will be required to complete comparability studies prior to using efzofitimod produced at the new CDMO’s facilities in subsequent clinical trials or submitting regulatory approval applications to the FDA. If we are unable to demonstrate such comparability to the satisfaction of the FDA, it may result in delays to future clinical trials or a deficiency in future regulatory applications. If we or our CDMOs are unable to scale the manufacturing process to produce commercial quantities of our product candidates, or our CDMOs do not pass required regulatory pre-approval inspections, our commercialization efforts will be harmed.</w:t>
      </w:r>
    </w:p>
    <w:p>
      <w:pPr>
        <w:spacing w:after="0" w:line="18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In addition, any significant disruption in our relationships with our CDMOs could harm our business. There are a relatively small number of potential manufacturers for our product candidates, and such manufacturers may not be able to supply our drug products at the times we need them or on commercially reasonable terms. Any disruption to our relationship with our current CDMOs and any manufacturers that we contract with in the future will result in delays in our ability to complete the clinical development of, or to commercialize, our product candidates, and may require us to incur additional costs.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rapid technological change and the possibility that our competitors may develop therapies that are more advanced or effective than ours, which may adversely affect our financial condition and our ability to successfully commercialize our product candidates.</w:t>
      </w:r>
    </w:p>
    <w:p>
      <w:pPr>
        <w:spacing w:after="0" w:line="51"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We have competitors both in the United States and internationally, including major multi-national pharmaceutical companies, biotechnology companies and universities and other research institutions. Although we believe we are the only company engaged in the discovery and development of therapeutics based on novel functions of tRNA synthetases, we are aware of other companies that could compete with our product candidates in their target therapeutic indications, such as our lead candidate, efzofitimod, for the treatment of pulmonary sarcoidosis, SSc-ILD and other ILD.</w:t>
      </w:r>
    </w:p>
    <w:p>
      <w:pPr>
        <w:spacing w:after="0" w:line="183"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technical and other resources, such as larger research and development staff and experienced marketing and manufacturing organizations.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safer, more convenient or less costly than any product candidate that we may develop, or achieve earlier patent protection, regulatory approval, product commercialization and market penetration than us. Additionally, technologies developed by our competitors may render our potential product candidates uneconomical or obsolete, and we may not be successful in marketing our product candidates against competitors.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any current product candidate or future product candidates will depend upon the degree of market acceptance by physicians, patients, third-party payors and others in the medical community.</w:t>
      </w:r>
    </w:p>
    <w:p>
      <w:pPr>
        <w:spacing w:after="0" w:line="51"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Even with the requisite approval from the FDA and comparable foreign regulatory authorities, the commercial success of our product candidates will depend in part on the medical community, patients, and third-party payors accepting our product candidates as medically useful, cost-effective, and safe. Any product that we bring to the market may not gain market acceptance by physicians, patients, third-party payors and others in the medical community. If these products do not achieve an adequate level of acceptance, we may not generate significant product revenue and may not become profitable.</w:t>
      </w:r>
    </w:p>
    <w:p>
      <w:pPr>
        <w:spacing w:after="0" w:line="183"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Even if a potential product displays a favorable efficacy and safety profile in preclinical studies and clinical trials, market acceptance of the product will not be known until after it is launched. Our efforts to educate the medical community and third-party payors on the benefits of the product candidates may require significant resources and may never be successful. Such efforts to educate the marketplace may require more resources than are required by the conventional technologies marketed by our competitors, and our competitors may have substantially greater resources or brand recognition to effectively market their products. If our product candidates are approved but fail to achieve an adequate level of acceptance by physicians, patients, third-party payors, and others in the medical community, we will not be able to generate sufficient revenue to become or remain profitable.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coverage and reimbursement status of newly-approved products is uncertain. Failure to obtain or maintain adequate coverage and reimbursement for new or current products, if approved, could limit our ability to market those products and decrease our ability to generate revenue.*</w:t>
      </w:r>
    </w:p>
    <w:p>
      <w:pPr>
        <w:spacing w:after="0" w:line="51"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w:t>
      </w:r>
    </w:p>
    <w:p>
      <w:pPr>
        <w:spacing w:after="0" w:line="187" w:lineRule="exact"/>
        <w:rPr>
          <w:sz w:val="20"/>
          <w:szCs w:val="20"/>
          <w:color w:val="auto"/>
        </w:rPr>
      </w:pPr>
    </w:p>
    <w:p>
      <w:pPr>
        <w:jc w:val="both"/>
        <w:ind w:firstLine="569"/>
        <w:spacing w:after="0" w:line="252"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(CMS), as CMS decides whether and to what extent a new medicine will be covered and reimbursed under Medicare. Private payors often follow CMS with respect to coverage policy and payment limitations in setting their own reimbursement policies. It is difficult to predict what CMS will decide with respect to reimbursement for fundamentally novel products such as ours, as there is no body of established practices and precedents for these new products. One third-party payor’s determination to provide coverage for a product candidate does not assure that other payors will also provide coverage for the product candidate. Further, no uniform policy for coverage and reimbursement exists in the United States, and coverage and reimbursement can differ significantly from payor to payor.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 Reimbursement agencies in Europe may be more conservative than third-party payors in the United States. For example, a number of cancer drugs have been approved for reimbursement in the United States, but have not been approved for reimbursement in certain European countries. There may be significant delays in obtaining reimbursement for newly approved medicines, and our inability to promptly obtain coverage and profitable payment rates from third-party payors for any approved medicines could have a material adverse effect on our business, prospects, financial condition and results of operations.</w:t>
      </w:r>
    </w:p>
    <w:p>
      <w:pPr>
        <w:spacing w:after="0" w:line="197"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Outside the United States, international sales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 Net prices for medicines may be reduced by mandatory discounts or rebates required by government healthcare programs or private payors and by any future relaxation of laws that currently restrict imports of medicines from countries where they may be sold at lower prices than in the United States.</w:t>
      </w:r>
    </w:p>
    <w:p>
      <w:pPr>
        <w:spacing w:after="0" w:line="188" w:lineRule="exact"/>
        <w:rPr>
          <w:sz w:val="20"/>
          <w:szCs w:val="20"/>
          <w:color w:val="auto"/>
        </w:rPr>
      </w:pPr>
    </w:p>
    <w:p>
      <w:pPr>
        <w:jc w:val="both"/>
        <w:ind w:firstLine="569"/>
        <w:spacing w:after="0" w:line="25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level of reimbursement for new products and, as a result, they may not cover or provide adequate payment for our product candidates. For example, the Patient Protection and Affordable Care Act, as amended by the Health Care and Education Reconciliation Act of 2010 (collectively, the ACA) was passed in March 2010, and substantially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jc w:val="both"/>
        <w:spacing w:after="0" w:line="254" w:lineRule="auto"/>
        <w:rPr>
          <w:sz w:val="20"/>
          <w:szCs w:val="20"/>
          <w:color w:val="auto"/>
        </w:rPr>
      </w:pPr>
      <w:r>
        <w:rPr>
          <w:rFonts w:ascii="Times New Roman" w:cs="Times New Roman" w:eastAsia="Times New Roman" w:hAnsi="Times New Roman"/>
          <w:sz w:val="18"/>
          <w:szCs w:val="18"/>
          <w:color w:val="auto"/>
        </w:rPr>
        <w:t>changed the way healthcare is financed by both governmental and private insurers. There have been executive, judicial and congressional challenges to certain aspects of the ACA. While Congress has not passed comprehensive repeal legislation, it has enacted laws that modified certain provisions of the ACA such as removing penalties, starting January 1, 2019, for not complying with the ACA’s individual mandate to carry health insurance. On June 17, 2021, the U.S. Supreme Court dismissed a challenge on procedural grounds that argued the ACA is unconstitutional in its entirety because the “individual mandate” was repealed by Congress.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spacing w:after="0" w:line="188" w:lineRule="exact"/>
        <w:rPr>
          <w:sz w:val="20"/>
          <w:szCs w:val="20"/>
          <w:color w:val="auto"/>
        </w:rPr>
      </w:pPr>
    </w:p>
    <w:p>
      <w:pPr>
        <w:jc w:val="both"/>
        <w:ind w:firstLine="569"/>
        <w:spacing w:after="0" w:line="251" w:lineRule="auto"/>
        <w:rPr>
          <w:sz w:val="20"/>
          <w:szCs w:val="20"/>
          <w:color w:val="auto"/>
        </w:rPr>
      </w:pPr>
      <w:r>
        <w:rPr>
          <w:rFonts w:ascii="Times New Roman" w:cs="Times New Roman" w:eastAsia="Times New Roman" w:hAnsi="Times New Roman"/>
          <w:sz w:val="18"/>
          <w:szCs w:val="18"/>
          <w:color w:val="auto"/>
        </w:rPr>
        <w:t>In addition, there has been heightened governmental scrutiny in the United States of pharmaceutical pricing practices in light of the rising cost of prescription drugs and biologics. Such scrutiny has resulted in several recent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Further, the IRA, among other things, (1) directs the HHS to negotiate the price of certain single-source drugs and biologics covered under Medicare and (2)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HHS has and will continue to issue and update guidance as these programs are implemented. It is currently unclear how the IRA will be implemented but is likely to have a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expect to experience pricing pressures in connection with the sale of any of our product candidates, due to the trend toward managed healthcare, the increasing influence of health maintenance organizations and additional health reform measures. The downward pressure on healthcare costs in general, particularly prescription drugs and surgical procedures and other treatments, has become very intense. As a result, increasingly higher barriers are being erected to the entry of new products.</w:t>
      </w:r>
    </w:p>
    <w:p>
      <w:pPr>
        <w:spacing w:after="0" w:line="205"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In addition, drug prices are under significant scrutiny in the markets in which our products may be sold. Drug pricing and other health care costs continues to be subject to intense political and societal pressures which we anticipate will continue and escalate on a global basis. If coverage and reimbursement is available only to limited levels, we may not be able to successfully commercialize our product candidates for which we obtain marketing approval. As a result, we may have difficulty raising capital and our results of operations may be adversely impacted.</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and customers may be subject, directly or indirectly, to federal and state healthcare fraud and abuse laws, false claims laws, transparency laws, health information privacy and security laws and other healthcare laws and regulations. If we are unable to comply, or have not fully complied, with such laws, we could face substantial penalties.</w:t>
      </w:r>
    </w:p>
    <w:p>
      <w:pPr>
        <w:spacing w:after="0" w:line="72"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our current and future operations may be, directly or indirectly through our prescribers, customers and third-party payors, subject to various federal and state healthcare laws and regulations. The laws that may affect our ability to operate include:</w:t>
      </w:r>
    </w:p>
    <w:p>
      <w:pPr>
        <w:spacing w:after="0" w:line="68" w:lineRule="exact"/>
        <w:rPr>
          <w:sz w:val="20"/>
          <w:szCs w:val="20"/>
          <w:color w:val="auto"/>
        </w:rPr>
      </w:pPr>
    </w:p>
    <w:p>
      <w:pPr>
        <w:jc w:val="both"/>
        <w:ind w:left="1260" w:hanging="368"/>
        <w:spacing w:after="0" w:line="254"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federal and state healthcare programs such as Medicare and Medicaid. A person or entity does not need to have actual knowledge of the statute or specific intent to violate it in order</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have committed a violation;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ind w:left="1260" w:hanging="368"/>
        <w:spacing w:after="0" w:line="255" w:lineRule="auto"/>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including the False Claims Act, which can be enforced through whistleblower actions, and civil monetary penalties laws, which, among other things, impose criminal and civil penalties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80" w:lineRule="exact"/>
        <w:rPr>
          <w:rFonts w:ascii="Times New Roman" w:cs="Times New Roman" w:eastAsia="Times New Roman" w:hAnsi="Times New Roman"/>
          <w:sz w:val="18"/>
          <w:szCs w:val="18"/>
          <w:color w:val="auto"/>
        </w:rPr>
      </w:pPr>
    </w:p>
    <w:p>
      <w:pPr>
        <w:jc w:val="both"/>
        <w:ind w:left="1260" w:hanging="368"/>
        <w:spacing w:after="0" w:line="258" w:lineRule="auto"/>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5" w:lineRule="exact"/>
        <w:rPr>
          <w:rFonts w:ascii="Times New Roman" w:cs="Times New Roman" w:eastAsia="Times New Roman" w:hAnsi="Times New Roman"/>
          <w:sz w:val="18"/>
          <w:szCs w:val="18"/>
          <w:color w:val="auto"/>
        </w:rPr>
      </w:pPr>
    </w:p>
    <w:p>
      <w:pPr>
        <w:jc w:val="both"/>
        <w:ind w:left="1260" w:hanging="368"/>
        <w:spacing w:after="0" w:line="258" w:lineRule="auto"/>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which imposes certain obligations, including mandatory contractual terms, with respect to safeguarding the privacy, security and transmission of individually identifiable health information without appropriate authorization by covered entities, i.e. health plans, healthcare clearinghouses and certain healthcare providers, as well as their business associates and covered subcontractors that perform certain services for or on their behalf involving the use or disclosure of individually identifiable health information;</w:t>
      </w:r>
    </w:p>
    <w:p>
      <w:pPr>
        <w:spacing w:after="0" w:line="75" w:lineRule="exact"/>
        <w:rPr>
          <w:rFonts w:ascii="Times New Roman" w:cs="Times New Roman" w:eastAsia="Times New Roman" w:hAnsi="Times New Roman"/>
          <w:sz w:val="18"/>
          <w:szCs w:val="18"/>
          <w:color w:val="auto"/>
        </w:rPr>
      </w:pPr>
    </w:p>
    <w:p>
      <w:pPr>
        <w:jc w:val="both"/>
        <w:ind w:left="1260" w:hanging="368"/>
        <w:spacing w:after="0" w:line="256" w:lineRule="auto"/>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certain other healthcare professionals (such as physician assistants and nurse practitioners), and teaching hospitals, as well as ownership and investment interests held by the physicians described above and their immediate family members; and</w:t>
      </w:r>
    </w:p>
    <w:p>
      <w:pPr>
        <w:spacing w:after="0" w:line="79"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w:t>
      </w:r>
    </w:p>
    <w:p>
      <w:pPr>
        <w:spacing w:after="0" w:line="225"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 funded healthcare programs, such as Medicare and Medicaid, or similar programs in other countries or jurisdictions, disgorgement, imprisonment, contractual damages, reputational harm, diminished profits, additional reporting requirements and oversight if we become subject to a corporate integrity agreement or similar agreement to resolve allegations of non-compliance with these laws and the delay, reduction, termination or restructuring of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historically has been highly volatile and is likely to continue to be volatile, and you could lose all or part of your investment.*</w:t>
      </w:r>
    </w:p>
    <w:p>
      <w:pPr>
        <w:spacing w:after="0" w:line="51"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volatile and could be subject to wide fluctuations in response to various factors, some of which are beyond our control. In addition to the factors discussed in this “Risk Factors” section and elsewhere in this Quarterly Report, these factors include:</w:t>
      </w:r>
    </w:p>
    <w:p>
      <w:pPr>
        <w:spacing w:after="0" w:line="54" w:lineRule="exact"/>
        <w:rPr>
          <w:sz w:val="20"/>
          <w:szCs w:val="20"/>
          <w:color w:val="auto"/>
        </w:rPr>
      </w:pPr>
    </w:p>
    <w:p>
      <w:pPr>
        <w:ind w:left="1260" w:hanging="368"/>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or clinical trials;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sufficient quantities of product candidates for use in clinical trials;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clinical hold on our product candidates or our inability to cause the clinical hold to be lifted;</w:t>
      </w:r>
    </w:p>
    <w:p>
      <w:pPr>
        <w:spacing w:after="0" w:line="117"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filing an investigational new drug application (IND) or BLA for any of our product candidates and any adverse development or perceived adverse development with respect to the FDA’s review of that IND or BLA;</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strategic partners to perform under our collaborations or early termination of collaborations;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and commercialize our product candidates;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market sizes and pricing for our product candidates;</w:t>
      </w:r>
    </w:p>
    <w:p>
      <w:pPr>
        <w:spacing w:after="0" w:line="117" w:lineRule="exact"/>
        <w:rPr>
          <w:rFonts w:ascii="Times New Roman" w:cs="Times New Roman" w:eastAsia="Times New Roman" w:hAnsi="Times New Roman"/>
          <w:sz w:val="18"/>
          <w:szCs w:val="18"/>
          <w:color w:val="auto"/>
        </w:rPr>
      </w:pPr>
    </w:p>
    <w:p>
      <w:pPr>
        <w:ind w:left="5540" w:right="100" w:hanging="4648"/>
        <w:spacing w:after="0" w:line="282" w:lineRule="auto"/>
        <w:tabs>
          <w:tab w:leader="none" w:pos="12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licensors to prosecute, maintain or enforce intellectual property rights covering our product candidates and processes;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current or future products;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adequate product supply for our product candidates or the inability to do so at acceptable prices;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services or technologies by our competitors;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additional capital;</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or operational projections we may provide to the public;</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or operational projections of the investment community;</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biopharmaceutical industry by the public, politicians, legislatures, regulators and the investment community;</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1260" w:right="20" w:hanging="368"/>
        <w:spacing w:after="0" w:line="282" w:lineRule="auto"/>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issue an adverse or misleading opinion regarding our common stock;</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potential additional reverse stock split if we are unable to maintain a stock price above $1.00 per share of common stock;</w:t>
      </w:r>
    </w:p>
    <w:p>
      <w:pPr>
        <w:spacing w:after="0" w:line="117"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 and</w:t>
      </w:r>
    </w:p>
    <w:p>
      <w:pPr>
        <w:spacing w:after="0" w:line="117" w:lineRule="exact"/>
        <w:rPr>
          <w:rFonts w:ascii="Times New Roman" w:cs="Times New Roman" w:eastAsia="Times New Roman" w:hAnsi="Times New Roman"/>
          <w:sz w:val="18"/>
          <w:szCs w:val="18"/>
          <w:color w:val="auto"/>
        </w:rPr>
      </w:pPr>
    </w:p>
    <w:p>
      <w:pPr>
        <w:jc w:val="both"/>
        <w:ind w:left="1260" w:hanging="368"/>
        <w:spacing w:after="0" w:line="258" w:lineRule="auto"/>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macroeconomic conditions, including global geopolitical tension, armed conflicts, potential future health pandemics, liquidity concerns at, and failures of, banks and other financial institutions or other disruptions in the banking system or financing markets, rising interest rates and financial and credit market fluctuations, volatility in the capital markets, and other geopolitical and macroeconomic conditions, including labor shortages, economic slowdowns, recessions, inflation and monetary supply shifts, rising interest rates and tightening of credit markets, and the resulting impacts on our business operations or financial condition.</w:t>
      </w:r>
    </w:p>
    <w:p>
      <w:pPr>
        <w:spacing w:after="0" w:line="183"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In addition, companies trading in the stock market in general, and on the Nasdaq Capital Market and biotechnology companies in particular, have experienced extreme price and volume fluctuations, and we have in the past experienced volatility that has been unrelated or disproportionate to our operating performance. From January 1, 2023 through August 9, 2024 the closing price of our common stock has ranged between $1.11 and $2.57 per share. Broad market and industry factors may negatively affect the market price of our common stock, regardless of our actual operating performance.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5% holders and their affiliates currently own a significant percentage of our stock and will be able to exert significant control over matters submitted to stockholders for approval</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As of August 9, 2024, based on the latest information available to us, our executive officers, directors, holders known by us to own 5% of our voting stock and their affiliates own approximately 27.0% of our voting stock. Therefore, our executive officers, directors, holders known by us to own 5% of our voting stock and their affiliates will have the ability to influence us through their ownership positions and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equity securities could result in dilution to our stockholders, impose restrictions or limitations on our business and could cause our stock price to fall.*</w:t>
      </w:r>
    </w:p>
    <w:p>
      <w:pPr>
        <w:spacing w:after="0" w:line="51"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We will need additional capital in the future to continue our planned operations, and we may seek additional funding through a combination of equity offerings, debt, grant funding, collaborations, strategic partnerships and/or licensing arrangements.</w:t>
      </w: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4" w:name="page55"/>
    <w:bookmarkEnd w:id="54"/>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In February 2023, we completed an underwritten follow-on public offering of 23,125,000 shares of our common stock, including the partial exercise of the underwriters’ option to purchase additional shares, at a price to the public of $2.25 per share. The total net proceeds from the offering were approximately $48.1 million, after deducting underwriting discounts, commissions and offering expenses payable by us.</w:t>
      </w:r>
    </w:p>
    <w:p>
      <w:pPr>
        <w:spacing w:after="0" w:line="183" w:lineRule="exact"/>
        <w:rPr>
          <w:sz w:val="20"/>
          <w:szCs w:val="20"/>
          <w:color w:val="auto"/>
        </w:rPr>
      </w:pPr>
    </w:p>
    <w:p>
      <w:pPr>
        <w:jc w:val="both"/>
        <w:ind w:firstLine="569"/>
        <w:spacing w:after="0" w:line="243" w:lineRule="auto"/>
        <w:rPr>
          <w:sz w:val="20"/>
          <w:szCs w:val="20"/>
          <w:color w:val="auto"/>
        </w:rPr>
      </w:pPr>
      <w:r>
        <w:rPr>
          <w:rFonts w:ascii="Times New Roman" w:cs="Times New Roman" w:eastAsia="Times New Roman" w:hAnsi="Times New Roman"/>
          <w:sz w:val="18"/>
          <w:szCs w:val="18"/>
          <w:color w:val="auto"/>
        </w:rPr>
        <w:t>In April 2022,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with Jefferies LLC (Jefferies) implementing an “at-the-market” offering program, (the Jefferies ATM Offering Program) pursuant to which we may offer and sell, from time to time and at our option, up to an aggregate of $65.0 million of shares of our common stock through Jefferies, acting as sales agent. Jefferies is entitled to a fixed commission rate of up to 3.0% of the gross sales proceeds of shares sold under the Jefferies ATM Offering Program. During 2023, we sold an aggregate of 10,530,795 shares of common stock at a weighted-average price of $1.82 per share for net proceeds of approximately $18.4 million under the Jefferies ATM Offering Program. During the six months ended June 30, 2024, we sold an aggregate of 12,448,319 shares of common stock at a weighted-average price of $1.77 per share for net proceeds of approximately $21.3 million under the Jefferies ATM Offering Program.</w:t>
      </w:r>
    </w:p>
    <w:p>
      <w:pPr>
        <w:spacing w:after="0" w:line="198"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These financing activities may have an adverse effect on our stockholders’ rights, the market price of our common stock and on our operations, and may require us to relinquish rights to some of our technologies, intellectual property or product candidates, issue additional equity or debt securities, or otherwise agree to terms unfavorable to us.</w:t>
      </w:r>
    </w:p>
    <w:p>
      <w:pPr>
        <w:spacing w:after="0" w:line="176"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In addition, sales of a substantial number of shares of our common stock by our existing stockholders in the public market or the perception that these sales might occur, could depress the market price of our common stock and could impair our ability to raise capital through the sale of additional equity securities. Any sales of securities by these stockholders could have a material adverse effect on the trading price of our common stock, even if there is no relationship between such sales and the performance of our business.</w:t>
      </w:r>
    </w:p>
    <w:p>
      <w:pPr>
        <w:spacing w:after="0" w:line="180"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We have also registered or plan to register all common stock that we may issue under our employee benefits plans as well as shares of common stock underlying options to purchase shares of our common stock that were granted as inducement grants. As a result, once registered, these shares can be freely sold in the public market upon issuance, subject to restrictions under the securities laws. In addition, our directors and executive officers may establish programmed selling plans under Rule 10b5-1 of the Securities Exchange Act of 1934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We have incurred substantial losses during our history, we do not expect to become profitable in the near future and we may never achieve profitability. Net operating loss (NOL) carryforwards that expire unused will be unavailable to offset future income tax liabilities. Under current law, federal NOLs incurred in tax years beginning after December 31, 2017, may be carried forward indefinitely, but the deductibility of such federal NOL carryforwards in a taxable year is limited to 80% of taxable income in such year.</w:t>
      </w:r>
    </w:p>
    <w:p>
      <w:pPr>
        <w:spacing w:after="0" w:line="180"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In addition, under Section 382 of the Internal Revenue Code of 1986, as amended (Code) a corporation that undergoes an “ownership change” (as defined under Section 382 of the Code and applicable Treasury Regulations) is subject to limitations on its ability to utilize its pre-change NOLs to offset post-change taxable income. We have experienced ownership changes in the past, and may experience future ownership changes, under Section 382 of the Code that could affect our ability to utilize our NOL carryforwards to offset our income. Furthermore, our ability to utilize NOLs of companies that we may acquire in the future may be subject to limitations. There is also a risk that due to regulatory changes, such as suspensions on the use of NOLs or other unforeseen reasons, portions of our existing NOLs could expire or otherwise be unavailable to reduce future income tax liabilities, including for state tax purposes. For example, California imposed limits on the usability of California state net operating losses to offset taxable income in tax years beginning after 2023 and before 2027. For these reasons, we may not be able to utilize a material portion of our NOLs, even if we attain profitability, which could potentially result in increased future tax liability to us and could adversely affect our operating results and financial condition</w:t>
      </w:r>
      <w:r>
        <w:rPr>
          <w:rFonts w:ascii="Times New Roman" w:cs="Times New Roman" w:eastAsia="Times New Roman" w:hAnsi="Times New Roman"/>
          <w:sz w:val="18"/>
          <w:szCs w:val="18"/>
          <w:color w:val="1F497D"/>
        </w:rPr>
        <w: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application of existing, new and proposed tax laws and regulations could materially affect our tax obligations and effective tax rate.</w:t>
      </w:r>
    </w:p>
    <w:p>
      <w:pPr>
        <w:spacing w:after="0" w:line="51" w:lineRule="exact"/>
        <w:rPr>
          <w:sz w:val="20"/>
          <w:szCs w:val="20"/>
          <w:color w:val="auto"/>
        </w:rPr>
      </w:pPr>
    </w:p>
    <w:p>
      <w:pPr>
        <w:jc w:val="both"/>
        <w:ind w:firstLine="569"/>
        <w:spacing w:after="0" w:line="254" w:lineRule="auto"/>
        <w:rPr>
          <w:sz w:val="20"/>
          <w:szCs w:val="20"/>
          <w:color w:val="auto"/>
        </w:rPr>
      </w:pPr>
      <w:r>
        <w:rPr>
          <w:rFonts w:ascii="Times New Roman" w:cs="Times New Roman" w:eastAsia="Times New Roman" w:hAnsi="Times New Roman"/>
          <w:sz w:val="18"/>
          <w:szCs w:val="18"/>
          <w:color w:val="auto"/>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ind w:firstLine="569"/>
        <w:spacing w:after="0" w:line="253" w:lineRule="auto"/>
        <w:rPr>
          <w:sz w:val="20"/>
          <w:szCs w:val="20"/>
          <w:color w:val="auto"/>
        </w:rPr>
      </w:pPr>
      <w:r>
        <w:rPr>
          <w:rFonts w:ascii="Times New Roman" w:cs="Times New Roman" w:eastAsia="Times New Roman" w:hAnsi="Times New Roman"/>
          <w:sz w:val="18"/>
          <w:szCs w:val="18"/>
          <w:color w:val="auto"/>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therefore any returns will be limited to the value of our stock.</w:t>
      </w:r>
    </w:p>
    <w:p>
      <w:pPr>
        <w:spacing w:after="0" w:line="121"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76" w:lineRule="exact"/>
        <w:rPr>
          <w:sz w:val="20"/>
          <w:szCs w:val="20"/>
          <w:color w:val="auto"/>
        </w:rPr>
      </w:pPr>
    </w:p>
    <w:p>
      <w:pPr>
        <w:jc w:val="both"/>
        <w:ind w:firstLine="569"/>
        <w:spacing w:after="0" w:line="261" w:lineRule="auto"/>
        <w:rPr>
          <w:sz w:val="20"/>
          <w:szCs w:val="20"/>
          <w:color w:val="auto"/>
        </w:rPr>
      </w:pPr>
      <w:r>
        <w:rPr>
          <w:rFonts w:ascii="Times New Roman" w:cs="Times New Roman" w:eastAsia="Times New Roman" w:hAnsi="Times New Roman"/>
          <w:sz w:val="18"/>
          <w:szCs w:val="18"/>
          <w:color w:val="auto"/>
        </w:rPr>
        <w:t>In addition, future debt instruments may materially restrict our ability to pay dividends on our common stock. Any future determination related to dividend policy will be made at the discretion of our board of directors and will depend upon, among other factors, our results of operations, financial condition, capital requirements, tax considerations, legal or contractual restrictions, business prospects, the requirements of current or then-existing debt instruments, general economic conditions and other factors our board of directors may deem relevant.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as well as provisions of Delaware law, could make it more difficult for a third party to remove our current management, acquire us or increase the cost of acquiring us, even if doing so would benefit our stockholders.</w:t>
      </w:r>
    </w:p>
    <w:p>
      <w:pPr>
        <w:spacing w:after="0" w:line="67" w:lineRule="exact"/>
        <w:rPr>
          <w:sz w:val="20"/>
          <w:szCs w:val="20"/>
          <w:color w:val="auto"/>
        </w:rPr>
      </w:pPr>
    </w:p>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amended and restated bylaws include provisions that:</w:t>
      </w:r>
    </w:p>
    <w:p>
      <w:pPr>
        <w:spacing w:after="0" w:line="176" w:lineRule="exact"/>
        <w:rPr>
          <w:sz w:val="20"/>
          <w:szCs w:val="20"/>
          <w:color w:val="auto"/>
        </w:rPr>
      </w:pPr>
    </w:p>
    <w:p>
      <w:pPr>
        <w:ind w:left="1260" w:right="20" w:hanging="368"/>
        <w:spacing w:after="0" w:line="282" w:lineRule="auto"/>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1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90" w:lineRule="exact"/>
        <w:rPr>
          <w:rFonts w:ascii="Times New Roman" w:cs="Times New Roman" w:eastAsia="Times New Roman" w:hAnsi="Times New Roman"/>
          <w:sz w:val="18"/>
          <w:szCs w:val="18"/>
          <w:color w:val="auto"/>
        </w:rPr>
      </w:pPr>
    </w:p>
    <w:p>
      <w:pPr>
        <w:ind w:left="1260" w:right="20" w:hanging="368"/>
        <w:spacing w:after="0" w:line="282" w:lineRule="auto"/>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our chief executive officer or our president;</w:t>
      </w:r>
    </w:p>
    <w:p>
      <w:pPr>
        <w:spacing w:after="0" w:line="1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76"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76"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13"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90"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our board of directors to modify, alter or repeal our amended and restated bylaws; and</w:t>
      </w:r>
    </w:p>
    <w:p>
      <w:pPr>
        <w:spacing w:after="0" w:line="76" w:lineRule="exact"/>
        <w:rPr>
          <w:rFonts w:ascii="Times New Roman" w:cs="Times New Roman" w:eastAsia="Times New Roman" w:hAnsi="Times New Roman"/>
          <w:sz w:val="18"/>
          <w:szCs w:val="18"/>
          <w:color w:val="auto"/>
        </w:rPr>
      </w:pPr>
    </w:p>
    <w:p>
      <w:pPr>
        <w:ind w:left="1260" w:hanging="368"/>
        <w:spacing w:after="0" w:line="282" w:lineRule="auto"/>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amended and restated certificate of incorporation and amended and restated bylaws.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firstLine="569"/>
        <w:spacing w:after="0" w:line="261"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ind w:firstLine="569"/>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is the exclusive forum for certain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569"/>
        <w:spacing w:after="0" w:line="256" w:lineRule="auto"/>
        <w:rPr>
          <w:sz w:val="20"/>
          <w:szCs w:val="20"/>
          <w:color w:val="auto"/>
        </w:rPr>
      </w:pPr>
      <w:r>
        <w:rPr>
          <w:rFonts w:ascii="Times New Roman" w:cs="Times New Roman" w:eastAsia="Times New Roman" w:hAnsi="Times New Roman"/>
          <w:sz w:val="18"/>
          <w:szCs w:val="18"/>
          <w:color w:val="auto"/>
        </w:rPr>
        <w:t>Our amended and restated bylaws provide that the Court of Chancery of the State of Delaware will be the sole and exclusive forum for (i) any derivative action or proceeding brought on our behalf, (ii) any action asserting a claim of breach of a fiduciary duty owed by any of our directors, officers or employees to our company or our stockholders, (iii) any action asserting a claim against our company arising pursuant to any provision of the Delaware General Corporation Law or our amended and restated certificate of incorporation or bylaws, or (iv) any action asserting a claim against our company governed by the internal affairs doctrine. This choice of forum provision does not apply to suits brought to enforce a duty or liability created by the Securities Act of 1933, as amended (Securities Act) or the Exchange Act, or any other claim for which the federal courts have exclusive jurisdiction.</w:t>
      </w:r>
    </w:p>
    <w:p>
      <w:pPr>
        <w:spacing w:after="0" w:line="187" w:lineRule="exact"/>
        <w:rPr>
          <w:sz w:val="20"/>
          <w:szCs w:val="20"/>
          <w:color w:val="auto"/>
        </w:rPr>
      </w:pPr>
    </w:p>
    <w:p>
      <w:pPr>
        <w:jc w:val="both"/>
        <w:ind w:firstLine="569"/>
        <w:spacing w:after="0" w:line="258"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certain claims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this choice of forum provision to be inapplicable or unenforceable in an action, we may incur additional costs associated with resolving such action in other jurisdictions, which could adversely affect our business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maintained by the third parties with whom we work, are or were compromised, this could result in a Material Adverse Impact.*</w:t>
      </w:r>
    </w:p>
    <w:p>
      <w:pPr>
        <w:spacing w:after="0" w:line="5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(as defined above) proprietary, confidential and sensitive information, including personal data (including key-coded data, health information and other special categories of personal data), intellectual property, trade secrets, and proprietary business information owned or controlled by ourselves or other third party partners (collectively, Sensitive Information).</w:t>
      </w:r>
    </w:p>
    <w:p>
      <w:pPr>
        <w:spacing w:after="0" w:line="180" w:lineRule="exact"/>
        <w:rPr>
          <w:sz w:val="20"/>
          <w:szCs w:val="20"/>
          <w:color w:val="auto"/>
        </w:rPr>
      </w:pPr>
    </w:p>
    <w:p>
      <w:pPr>
        <w:jc w:val="both"/>
        <w:ind w:firstLine="562"/>
        <w:spacing w:after="0" w:line="282" w:lineRule="auto"/>
        <w:rPr>
          <w:sz w:val="20"/>
          <w:szCs w:val="20"/>
          <w:color w:val="auto"/>
        </w:rPr>
      </w:pPr>
      <w:r>
        <w:rPr>
          <w:rFonts w:ascii="Times New Roman" w:cs="Times New Roman" w:eastAsia="Times New Roman" w:hAnsi="Times New Roman"/>
          <w:sz w:val="18"/>
          <w:szCs w:val="18"/>
          <w:color w:val="auto"/>
        </w:rPr>
        <w:t>We and the third parties with whom we work utilize information technology systems to Process Sensitive Information in connection with our business activities, and we face a variety of evolving threats that could cause security incidents.</w:t>
      </w:r>
    </w:p>
    <w:p>
      <w:pPr>
        <w:spacing w:after="0" w:line="162"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continue to rise, are increasingly difficult to detect and come from a variety of sources, including traditional computer “hackers,” threat actors, “hacktivists,” organized criminal threat actors, personnel (such as through theft or misuse), sophisticated nation states, and nation state supported actors. Some actors now engage and are expected to continue to engage in cyber-attacks, including without limitation nation 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conduct our business.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We and the third parties with whom we work are subject to a variety of evolving threats, including but not limited to software bugs; malicious code (such as viruses and worms); denial-of-service attacks; credential stuffing; credential harvesting; malware (including as a result of advanced persistent threat intrusions; natural disasters; terrorism; war; telecommunication and electrical failures; ransomware attacks; social-engineering attacks (including through deep fakes, which may be increasingly more difficult to identify as fake, and phishing attacks); server malfunctions; software or hardware failures; supply-chain attacks; loss of data or other computer assets; attacks enhanced or facilitated by AI; and other similar issues. Particularly, severe ransomware attacks are becoming increasingly prevalent and can lead to significant interruptions, delays, or outages in our operations, disruption of clinical trials, loss of data (including data related to clinical trials), and other Material Adverse Impacts (as defined above). To alleviate the financial, operational and reputational impact of a ransomware attack, it may be preferable to make extortion payments, but we may be unwilling or unable to do so (including, for example, if applicable laws or regulations prohibit such payments).</w:t>
      </w:r>
    </w:p>
    <w:p>
      <w:pPr>
        <w:spacing w:after="0" w:line="188"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Additionally, remote work has become more common and has increased the risk to our information technology assets and data, as more of our employees utilize network connections, computers and devices outside of our premises and networks, including working at home, while in transit and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7"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We use third parties, including service providers and subprocessors, to help us operate our business and engage in Processing or otherwise share Sensitive Information with our partners or other third parties in conjunction with our business. These third parties and their technologies operate critical business systems to Process Sensitive Information in a variety of contexts, including, without limitation, cloud-based infrastructure, data center facilities, encryption and authentication technology, employee email,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Material Adverse Impacts. While we may be entitled to damages if the third parties with whom we work fail to satisfy their privacy or security-related obligations to us, any award may be insufficient to cover our damages, or we may be unable to recover such award. Similarly, supply chain attacks have increased in frequency and severity, and we cannot guarantee that third parties’ infrastructure in our supply chain or that of the third parties with whom we work have not been compromised.</w:t>
      </w:r>
    </w:p>
    <w:p>
      <w:pPr>
        <w:spacing w:after="0" w:line="188"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with whom we work. A security incident or other interruption could disrupt our ability (and that of third parties with whom we work) to provide our services.</w:t>
      </w:r>
    </w:p>
    <w:p>
      <w:pPr>
        <w:spacing w:after="0" w:line="180"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We may expend significant resources, fundamentally change our business activities and practices, or modify our operations, including our clinical trial activities, or information technology in an effort to protect against security incidents and to mitigate, detect, and remediate actual and potential vulnerabilities. Applicable Data Protection Requirements (as defined above) may require us to implement specific security measures or use industry-standard or reasonable measures to protect against security incidents.</w:t>
      </w:r>
    </w:p>
    <w:p>
      <w:pPr>
        <w:spacing w:after="0" w:line="180"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we, or the third parties with whom we work, will be successful in preventing a security incident or mitigating their effects. We take steps designed to detect, mitigate and remediate vulnerabilities in our information technology systems (such as our hardware and/or software, including that of third parties with whom we work). We may not, however, detect and remediate all such vulnerabilities including that of third parties with whom we work, on a timely basis. Further, we may experience delays in developing and deploying remedial measures and patches designed to address identified vulnerabilities. Vulnerabilities could be exploited and result in a security incident.</w:t>
      </w:r>
    </w:p>
    <w:p>
      <w:pPr>
        <w:spacing w:after="0" w:line="187" w:lineRule="exact"/>
        <w:rPr>
          <w:sz w:val="20"/>
          <w:szCs w:val="20"/>
          <w:color w:val="auto"/>
        </w:rPr>
      </w:pPr>
    </w:p>
    <w:p>
      <w:pPr>
        <w:jc w:val="both"/>
        <w:ind w:right="20" w:firstLine="562"/>
        <w:spacing w:after="0" w:line="282" w:lineRule="auto"/>
        <w:rPr>
          <w:sz w:val="20"/>
          <w:szCs w:val="20"/>
          <w:color w:val="auto"/>
        </w:rPr>
      </w:pPr>
      <w:r>
        <w:rPr>
          <w:rFonts w:ascii="Times New Roman" w:cs="Times New Roman" w:eastAsia="Times New Roman" w:hAnsi="Times New Roman"/>
          <w:sz w:val="18"/>
          <w:szCs w:val="18"/>
          <w:color w:val="auto"/>
        </w:rPr>
        <w:t>Furthermore, applicable Data Protection Requirements may require us to notify relevant stakeholders of security incidents. Such disclosures are costly, and the disclosures or the failure to comply with such requirements could lead to Material Adverse Impacts.</w:t>
      </w:r>
    </w:p>
    <w:p>
      <w:pPr>
        <w:spacing w:after="0" w:line="162"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If we or the third parties with whom we work experience or in the future experience (or are perceived to have experienced) any security incident(s), we could suffer reputational harm, face litigation or adverse regulatory actions, fines, other penalties, audits, inspections, additional reporting requirements and/or oversight, restrictions on Processing Sensitive Information, indemnification obligations, negative publicity, business interruptions, and diversion of funds. For example, the loss of data from completed clinical trials for our product candidates could result in delays in our regulatory approval efforts and significantly increase our costs. As a result, we could experience Material Adverse Impacts.</w:t>
      </w:r>
    </w:p>
    <w:p>
      <w:pPr>
        <w:spacing w:after="0" w:line="183" w:lineRule="exact"/>
        <w:rPr>
          <w:sz w:val="20"/>
          <w:szCs w:val="20"/>
          <w:color w:val="auto"/>
        </w:rPr>
      </w:pPr>
    </w:p>
    <w:p>
      <w:pPr>
        <w:jc w:val="right"/>
        <w:spacing w:after="0" w:line="263"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Furthermore, we cannot be sure that our insurance coverage, will be adequate or otherwise protect us from or adequately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595630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mitigate liabilities or damages with respect to claims, costs, expenses, litigation, fines, penalties, business loss, data loss, regulatory actions or Material Adverse Impacts arising out of our Processing operations, data privacy and security practices, or security incidents we may experience. The successful assertion of one or more large claims against us that exceeds our available insurance coverage, or results in changes to our insurance policies (including premium increases or the imposition of large excess or deductible or co-insurance requirements), could have a Material Adverse Impact.</w:t>
      </w:r>
    </w:p>
    <w:p>
      <w:pPr>
        <w:spacing w:after="0" w:line="180"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in the jurisdictions in which we operate.</w:t>
      </w:r>
    </w:p>
    <w:p>
      <w:pPr>
        <w:spacing w:after="0" w:line="121"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We are subject to a number of anti-corruption laws, including the Foreign Corrupt Practices Act of 1977, as amended (FCPA), and various other anti-corruption laws. The FCPA generally prohibits companies and their intermediaries from making improper payments to foreign officials for the purpose of obtaining or keeping business and/or other benefits. Our business relies on approvals and licenses from government and regulatory entities, and as a result, we are subject to certain elevated risks associated with interactions with these entities. Although we have adopted a code of business conduct and ethics that includes provisions governing the interactions of employees with government entities to mitigate these risks, there can be no assurance that this will be successful in preventing violations of anti-corruption laws. If we are not in compliance with anti-corruption laws and other laws governing the conduct of business with government entities (including local laws), we may be subject to criminal and civil penalties and other remedial measures, which could harm our reputation and have a material adverse effect on our business, financial condition, results of operations and prospects. Any investigation of any actual or alleged violations of such laws could also harm our reputation or have an adverse impact on our business, prospects, financial condition and results of operations.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costs as a result of operating as a public company, and our management will be required to devote substantial time to new compliance initiatives.*</w:t>
      </w:r>
    </w:p>
    <w:p>
      <w:pPr>
        <w:spacing w:after="0" w:line="51" w:lineRule="exact"/>
        <w:rPr>
          <w:sz w:val="20"/>
          <w:szCs w:val="20"/>
          <w:color w:val="auto"/>
        </w:rPr>
      </w:pPr>
    </w:p>
    <w:p>
      <w:pPr>
        <w:jc w:val="both"/>
        <w:ind w:firstLine="562"/>
        <w:spacing w:after="0" w:line="253"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legal, accounting and other expenses. In addition, the Sarbanes-Oxley Act of 2002 as well as rules subsequently implemented by the SEC and the Nasdaq Stock Market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maintain director and officer liability insurance and we have been required to incur substantial costs to maintain our current levels of such coverage.</w:t>
      </w:r>
    </w:p>
    <w:p>
      <w:pPr>
        <w:spacing w:after="0" w:line="16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5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If no or few analysts commence coverage or continue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121" w:lineRule="exact"/>
        <w:rPr>
          <w:sz w:val="20"/>
          <w:szCs w:val="20"/>
          <w:color w:val="auto"/>
        </w:rPr>
      </w:pPr>
    </w:p>
    <w:p>
      <w:pPr>
        <w:jc w:val="both"/>
        <w:ind w:firstLine="562"/>
        <w:spacing w:after="0" w:line="261"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companies following a decline in the market price of their securities. This risk is especially relevant for us because pharmaceutical companies have experienced significant stock price volatility. If we face such litigation, it could result in substantial costs and a diversion of management’s attention and resources, which could harm our business and cause our stock price to decline.</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cash equivalents and available-for-sale investments and are exposed to risks related to the marketable securities we may purchase.*</w:t>
      </w:r>
    </w:p>
    <w:p>
      <w:pPr>
        <w:spacing w:after="0" w:line="51" w:lineRule="exact"/>
        <w:rPr>
          <w:sz w:val="20"/>
          <w:szCs w:val="20"/>
          <w:color w:val="auto"/>
        </w:rPr>
      </w:pPr>
    </w:p>
    <w:p>
      <w:pPr>
        <w:jc w:val="both"/>
        <w:ind w:firstLine="562"/>
        <w:spacing w:after="0" w:line="257" w:lineRule="auto"/>
        <w:rPr>
          <w:sz w:val="20"/>
          <w:szCs w:val="20"/>
          <w:color w:val="auto"/>
        </w:rPr>
      </w:pPr>
      <w:r>
        <w:rPr>
          <w:rFonts w:ascii="Times New Roman" w:cs="Times New Roman" w:eastAsia="Times New Roman" w:hAnsi="Times New Roman"/>
          <w:sz w:val="18"/>
          <w:szCs w:val="18"/>
          <w:color w:val="auto"/>
        </w:rPr>
        <w:t>We have considerable discretion in the application of our existing cash, cash equivalents and available-for-sale investments. We expect to use our existing cash to fund research and development activities and for working capital and general corporate purposes, including funding the costs of operating as a public company. In addition, pending their use, we may invest our existing cash in certain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short-term investments, including but not limited to investment-grade, interest-bearing securities. Historically, investment in these securities has been highly liquid and has experienced only very limited defaults. However, volatility in the financial markets in recent years has created additional uncertainty regarding the liquidity and safety of these investments. Additionally, we may use this cash, cash equivalents and available-for-sale investments for purposes that do not yield a significant return or any return at all for our stockholders.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60" w:type="dxa"/>
            <w:vAlign w:val="bottom"/>
            <w:gridSpan w:val="10"/>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1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60" w:type="dxa"/>
            <w:vAlign w:val="bottom"/>
            <w:vMerge w:val="restart"/>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31"/>
        </w:trPr>
        <w:tc>
          <w:tcPr>
            <w:tcW w:w="8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60" w:type="dxa"/>
            <w:vAlign w:val="bottom"/>
            <w:gridSpan w:val="10"/>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300" w:type="dxa"/>
            <w:vAlign w:val="bottom"/>
          </w:tcPr>
          <w:p>
            <w:pPr>
              <w:ind w:left="420"/>
              <w:spacing w:after="0" w:line="131" w:lineRule="exact"/>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5360" w:type="dxa"/>
            <w:vAlign w:val="bottom"/>
            <w:gridSpan w:val="17"/>
          </w:tcPr>
          <w:p>
            <w:pPr>
              <w:spacing w:after="0" w:line="182"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Restated Certificate of Incorporation of the Registrant</w:t>
              </w:r>
            </w:hyperlink>
          </w:p>
        </w:tc>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001-37378</w:t>
            </w:r>
          </w:p>
        </w:tc>
        <w:tc>
          <w:tcPr>
            <w:tcW w:w="8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3.1</w:t>
            </w:r>
          </w:p>
        </w:tc>
        <w:tc>
          <w:tcPr>
            <w:tcW w:w="1960" w:type="dxa"/>
            <w:vAlign w:val="bottom"/>
          </w:tcPr>
          <w:p>
            <w:pPr>
              <w:jc w:val="right"/>
              <w:ind w:right="11"/>
              <w:spacing w:after="0" w:line="182" w:lineRule="exact"/>
              <w:rPr>
                <w:sz w:val="20"/>
                <w:szCs w:val="20"/>
                <w:color w:val="auto"/>
              </w:rPr>
            </w:pPr>
            <w:r>
              <w:rPr>
                <w:rFonts w:ascii="Times New Roman" w:cs="Times New Roman" w:eastAsia="Times New Roman" w:hAnsi="Times New Roman"/>
                <w:sz w:val="18"/>
                <w:szCs w:val="18"/>
                <w:color w:val="auto"/>
              </w:rPr>
              <w:t>November 14, 2022</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5360" w:type="dxa"/>
            <w:vAlign w:val="bottom"/>
            <w:gridSpan w:val="17"/>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Certificate of Amendment to Restated Certificate of Incorporation of the</w:t>
              </w:r>
            </w:hyperlink>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001-37378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June 28, 2019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360" w:type="dxa"/>
            <w:vAlign w:val="bottom"/>
            <w:gridSpan w:val="17"/>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Registrant</w:t>
              </w:r>
            </w:hyperlink>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5360" w:type="dxa"/>
            <w:vAlign w:val="bottom"/>
            <w:gridSpan w:val="17"/>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Certificate of Amendment to Restated Certificate of Incorporation of the</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001-37378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May 12, 2020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360" w:type="dxa"/>
            <w:vAlign w:val="bottom"/>
            <w:gridSpan w:val="17"/>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Registrant</w:t>
              </w:r>
            </w:hyperlink>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5360" w:type="dxa"/>
            <w:vAlign w:val="bottom"/>
            <w:gridSpan w:val="17"/>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Certificate of Amendment to Restated Certificate of Incorporation of the</w:t>
              </w:r>
            </w:hyperlink>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001-37378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May 4, 2021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360" w:type="dxa"/>
            <w:vAlign w:val="bottom"/>
            <w:gridSpan w:val="17"/>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Registrant</w:t>
              </w:r>
            </w:hyperlink>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5360" w:type="dxa"/>
            <w:vAlign w:val="bottom"/>
            <w:gridSpan w:val="17"/>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Certificate of Amendment to Restated Certificate of Incorporation of the</w:t>
              </w:r>
            </w:hyperlink>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001-37378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April 29, 2022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360" w:type="dxa"/>
            <w:vAlign w:val="bottom"/>
            <w:gridSpan w:val="17"/>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Registrant</w:t>
              </w:r>
            </w:hyperlink>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5360" w:type="dxa"/>
            <w:vAlign w:val="bottom"/>
            <w:gridSpan w:val="17"/>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Certificate of Amendment to Restated Certificate of Incorporation of the</w:t>
              </w:r>
            </w:hyperlink>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001-37378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May 19, 2023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360" w:type="dxa"/>
            <w:vAlign w:val="bottom"/>
            <w:gridSpan w:val="17"/>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Registrant</w:t>
              </w:r>
            </w:hyperlink>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5360" w:type="dxa"/>
            <w:vAlign w:val="bottom"/>
            <w:gridSpan w:val="17"/>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Amended and Restated Bylaws of the Registrant</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333-203272</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November 14, 2022</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5360" w:type="dxa"/>
            <w:vAlign w:val="bottom"/>
            <w:gridSpan w:val="17"/>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Specimen Common Stock Certificate</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333-203272</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April 27, 2015</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5360" w:type="dxa"/>
            <w:vAlign w:val="bottom"/>
            <w:gridSpan w:val="17"/>
          </w:tcPr>
          <w:p>
            <w:pPr>
              <w:spacing w:after="0"/>
              <w:rPr>
                <w:rFonts w:ascii="Times New Roman" w:cs="Times New Roman" w:eastAsia="Times New Roman" w:hAnsi="Times New Roman"/>
                <w:sz w:val="18"/>
                <w:szCs w:val="18"/>
                <w:color w:val="0000FF"/>
                <w:w w:val="98"/>
              </w:rPr>
            </w:pPr>
            <w:hyperlink r:id="rId239">
              <w:r>
                <w:rPr>
                  <w:rFonts w:ascii="Times New Roman" w:cs="Times New Roman" w:eastAsia="Times New Roman" w:hAnsi="Times New Roman"/>
                  <w:sz w:val="18"/>
                  <w:szCs w:val="18"/>
                  <w:color w:val="0000FF"/>
                  <w:w w:val="98"/>
                </w:rPr>
                <w:t>Warrant to Purchase Stock issued to Silicon Valley Bank on December 22,</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001-37378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4.8</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March 20, 2018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Borders>
              <w:left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40" w:type="dxa"/>
            <w:vAlign w:val="bottom"/>
          </w:tcPr>
          <w:p>
            <w:pPr>
              <w:spacing w:after="0" w:line="196" w:lineRule="exact"/>
              <w:rPr>
                <w:rFonts w:ascii="Times New Roman" w:cs="Times New Roman" w:eastAsia="Times New Roman" w:hAnsi="Times New Roman"/>
                <w:sz w:val="18"/>
                <w:szCs w:val="18"/>
                <w:color w:val="0000FF"/>
                <w:w w:val="83"/>
              </w:rPr>
            </w:pPr>
            <w:hyperlink r:id="rId239">
              <w:r>
                <w:rPr>
                  <w:rFonts w:ascii="Times New Roman" w:cs="Times New Roman" w:eastAsia="Times New Roman" w:hAnsi="Times New Roman"/>
                  <w:sz w:val="18"/>
                  <w:szCs w:val="18"/>
                  <w:color w:val="0000FF"/>
                  <w:w w:val="83"/>
                </w:rPr>
                <w:t>2017</w:t>
              </w:r>
            </w:hyperlink>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920" w:type="dxa"/>
            <w:vAlign w:val="bottom"/>
            <w:tcBorders>
              <w:left w:val="single" w:sz="8" w:color="0000EE"/>
            </w:tcBorders>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5360" w:type="dxa"/>
            <w:vAlign w:val="bottom"/>
            <w:gridSpan w:val="17"/>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Warrant to Purchase Stock issued to Solar Capital Ltd. on December 22,</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001-37378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7"/>
              </w:rPr>
              <w:t>4.9</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March 20, 2018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40" w:type="dxa"/>
            <w:vAlign w:val="bottom"/>
          </w:tcPr>
          <w:p>
            <w:pPr>
              <w:spacing w:after="0" w:line="196" w:lineRule="exact"/>
              <w:rPr>
                <w:rFonts w:ascii="Times New Roman" w:cs="Times New Roman" w:eastAsia="Times New Roman" w:hAnsi="Times New Roman"/>
                <w:sz w:val="18"/>
                <w:szCs w:val="18"/>
                <w:color w:val="0000FF"/>
                <w:w w:val="83"/>
              </w:rPr>
            </w:pPr>
            <w:hyperlink r:id="rId240">
              <w:r>
                <w:rPr>
                  <w:rFonts w:ascii="Times New Roman" w:cs="Times New Roman" w:eastAsia="Times New Roman" w:hAnsi="Times New Roman"/>
                  <w:sz w:val="18"/>
                  <w:szCs w:val="18"/>
                  <w:color w:val="0000FF"/>
                  <w:w w:val="83"/>
                </w:rPr>
                <w:t>2017</w:t>
              </w:r>
            </w:hyperlink>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5360" w:type="dxa"/>
            <w:vAlign w:val="bottom"/>
            <w:gridSpan w:val="17"/>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aTyr Pharma, Inc. 2015 Stock Option and Incentive Plan, as amended</w:t>
              </w:r>
            </w:hyperlink>
          </w:p>
        </w:tc>
        <w:tc>
          <w:tcPr>
            <w:tcW w:w="9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001-37378</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May 29, 2024</w:t>
            </w: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4260" w:type="dxa"/>
            <w:vAlign w:val="bottom"/>
            <w:tcBorders>
              <w:right w:val="single" w:sz="8" w:color="0000FF"/>
            </w:tcBorders>
            <w:gridSpan w:val="11"/>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5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required by Rule 13a-14(a) or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60" w:type="dxa"/>
            <w:vAlign w:val="bottom"/>
            <w:tcBorders>
              <w:right w:val="single" w:sz="8" w:color="0000FF"/>
            </w:tcBorders>
            <w:gridSpan w:val="11"/>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Rule 15d-14(a) of the Securities Exchange Act of 1934, as adopted</w:t>
            </w: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260" w:type="dxa"/>
            <w:vAlign w:val="bottom"/>
            <w:tcBorders>
              <w:right w:val="single" w:sz="8" w:color="0000FF"/>
            </w:tcBorders>
            <w:gridSpan w:val="11"/>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4260" w:type="dxa"/>
            <w:vAlign w:val="bottom"/>
            <w:tcBorders>
              <w:right w:val="single" w:sz="8" w:color="0000EE"/>
            </w:tcBorders>
            <w:gridSpan w:val="11"/>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5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required by Rule 13a-14(a) or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40" w:type="dxa"/>
            <w:vAlign w:val="bottom"/>
            <w:gridSpan w:val="1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Rule 15d-14(a) of the Securities Exchange Act of 1934, as adopted</w:t>
            </w: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40" w:type="dxa"/>
            <w:vAlign w:val="bottom"/>
            <w:gridSpan w:val="1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4260" w:type="dxa"/>
            <w:vAlign w:val="bottom"/>
            <w:tcBorders>
              <w:right w:val="single" w:sz="8" w:color="0000EE"/>
            </w:tcBorders>
            <w:gridSpan w:val="11"/>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5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40" w:type="dxa"/>
            <w:vAlign w:val="bottom"/>
            <w:gridSpan w:val="14"/>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3"/>
              </w:rPr>
              <w:t>2002</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940" w:type="dxa"/>
            <w:vAlign w:val="bottom"/>
            <w:tcBorders>
              <w:left w:val="single" w:sz="8" w:color="0000EE"/>
            </w:tcBorders>
            <w:gridSpan w:val="1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5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280" w:type="dxa"/>
            <w:vAlign w:val="bottom"/>
            <w:gridSpan w:val="1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3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3"/>
              </w:rPr>
              <w:t>2002</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20" w:type="dxa"/>
            <w:vAlign w:val="bottom"/>
            <w:tcBorders>
              <w:left w:val="single" w:sz="8" w:color="0000EE"/>
            </w:tcBorders>
            <w:gridSpan w:val="1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5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 the Interactive Data File because XBRL tags are embedded within the</w:t>
            </w:r>
          </w:p>
        </w:tc>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5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252525"/>
                <w:w w:val="99"/>
              </w:rPr>
              <w:t>—</w:t>
            </w:r>
          </w:p>
        </w:tc>
        <w:tc>
          <w:tcPr>
            <w:tcW w:w="1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36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9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80" w:type="dxa"/>
            <w:vAlign w:val="bottom"/>
          </w:tcPr>
          <w:p>
            <w:pPr>
              <w:spacing w:after="0"/>
              <w:rPr>
                <w:sz w:val="24"/>
                <w:szCs w:val="24"/>
                <w:color w:val="auto"/>
              </w:rPr>
            </w:pPr>
          </w:p>
        </w:tc>
        <w:tc>
          <w:tcPr>
            <w:tcW w:w="4840" w:type="dxa"/>
            <w:vAlign w:val="bottom"/>
            <w:gridSpan w:val="12"/>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995680</wp:posOffset>
            </wp:positionH>
            <wp:positionV relativeFrom="paragraph">
              <wp:posOffset>-4954270</wp:posOffset>
            </wp:positionV>
            <wp:extent cx="285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1449705</wp:posOffset>
            </wp:positionH>
            <wp:positionV relativeFrom="paragraph">
              <wp:posOffset>-4954270</wp:posOffset>
            </wp:positionV>
            <wp:extent cx="285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1737995</wp:posOffset>
            </wp:positionH>
            <wp:positionV relativeFrom="paragraph">
              <wp:posOffset>-4954270</wp:posOffset>
            </wp:positionV>
            <wp:extent cx="285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7"/>
        </w:trPr>
        <w:tc>
          <w:tcPr>
            <w:tcW w:w="780" w:type="dxa"/>
            <w:vAlign w:val="bottom"/>
            <w:vMerge w:val="restart"/>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0" w:type="dxa"/>
            <w:vAlign w:val="bottom"/>
            <w:vMerge w:val="restart"/>
          </w:tcPr>
          <w:p>
            <w:pPr>
              <w:ind w:left="242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960" w:type="dxa"/>
            <w:vAlign w:val="bottom"/>
            <w:vMerge w:val="restart"/>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Form</w:t>
            </w:r>
          </w:p>
        </w:tc>
        <w:tc>
          <w:tcPr>
            <w:tcW w:w="21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9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31"/>
        </w:trPr>
        <w:tc>
          <w:tcPr>
            <w:tcW w:w="780" w:type="dxa"/>
            <w:vAlign w:val="bottom"/>
            <w:vMerge w:val="continue"/>
          </w:tcPr>
          <w:p>
            <w:pPr>
              <w:spacing w:after="0"/>
              <w:rPr>
                <w:sz w:val="11"/>
                <w:szCs w:val="11"/>
                <w:color w:val="auto"/>
              </w:rPr>
            </w:pPr>
          </w:p>
        </w:tc>
        <w:tc>
          <w:tcPr>
            <w:tcW w:w="54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00" w:type="dxa"/>
            <w:vAlign w:val="bottom"/>
          </w:tcPr>
          <w:p>
            <w:pPr>
              <w:jc w:val="center"/>
              <w:ind w:left="42"/>
              <w:spacing w:after="0" w:line="131" w:lineRule="exact"/>
              <w:rPr>
                <w:sz w:val="20"/>
                <w:szCs w:val="20"/>
                <w:color w:val="auto"/>
              </w:rPr>
            </w:pPr>
            <w:r>
              <w:rPr>
                <w:rFonts w:ascii="Times New Roman" w:cs="Times New Roman" w:eastAsia="Times New Roman" w:hAnsi="Times New Roman"/>
                <w:sz w:val="14"/>
                <w:szCs w:val="14"/>
                <w:b w:val="1"/>
                <w:bCs w:val="1"/>
                <w:color w:val="auto"/>
              </w:rPr>
              <w:t>File No.</w:t>
            </w:r>
          </w:p>
        </w:tc>
        <w:tc>
          <w:tcPr>
            <w:tcW w:w="940" w:type="dxa"/>
            <w:vAlign w:val="bottom"/>
          </w:tcPr>
          <w:p>
            <w:pPr>
              <w:jc w:val="center"/>
              <w:ind w:left="39"/>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80" w:type="dxa"/>
            <w:vAlign w:val="bottom"/>
            <w:tcBorders>
              <w:bottom w:val="single" w:sz="8" w:color="auto"/>
            </w:tcBorders>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80" w:type="dxa"/>
            <w:vAlign w:val="bottom"/>
          </w:tcPr>
          <w:p>
            <w:pPr>
              <w:jc w:val="center"/>
              <w:ind w:left="2"/>
              <w:spacing w:after="0" w:line="205" w:lineRule="exact"/>
              <w:rPr>
                <w:sz w:val="20"/>
                <w:szCs w:val="20"/>
                <w:color w:val="auto"/>
              </w:rPr>
            </w:pPr>
            <w:r>
              <w:rPr>
                <w:rFonts w:ascii="Times New Roman" w:cs="Times New Roman" w:eastAsia="Times New Roman" w:hAnsi="Times New Roman"/>
                <w:sz w:val="18"/>
                <w:szCs w:val="18"/>
                <w:color w:val="auto"/>
                <w:w w:val="96"/>
              </w:rPr>
              <w:t>104</w:t>
            </w:r>
          </w:p>
        </w:tc>
        <w:tc>
          <w:tcPr>
            <w:tcW w:w="540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960" w:type="dxa"/>
            <w:vAlign w:val="bottom"/>
          </w:tcPr>
          <w:p>
            <w:pPr>
              <w:jc w:val="center"/>
              <w:ind w:left="59"/>
              <w:spacing w:after="0" w:line="205" w:lineRule="exact"/>
              <w:rPr>
                <w:sz w:val="20"/>
                <w:szCs w:val="20"/>
                <w:color w:val="auto"/>
              </w:rPr>
            </w:pPr>
            <w:r>
              <w:rPr>
                <w:rFonts w:ascii="Times New Roman" w:cs="Times New Roman" w:eastAsia="Times New Roman" w:hAnsi="Times New Roman"/>
                <w:sz w:val="18"/>
                <w:szCs w:val="18"/>
                <w:color w:val="252525"/>
                <w:w w:val="99"/>
              </w:rPr>
              <w:t>—</w:t>
            </w:r>
          </w:p>
        </w:tc>
        <w:tc>
          <w:tcPr>
            <w:tcW w:w="1200" w:type="dxa"/>
            <w:vAlign w:val="bottom"/>
          </w:tcPr>
          <w:p>
            <w:pPr>
              <w:jc w:val="center"/>
              <w:ind w:left="62"/>
              <w:spacing w:after="0" w:line="205" w:lineRule="exact"/>
              <w:rPr>
                <w:sz w:val="20"/>
                <w:szCs w:val="20"/>
                <w:color w:val="auto"/>
              </w:rPr>
            </w:pPr>
            <w:r>
              <w:rPr>
                <w:rFonts w:ascii="Times New Roman" w:cs="Times New Roman" w:eastAsia="Times New Roman" w:hAnsi="Times New Roman"/>
                <w:sz w:val="18"/>
                <w:szCs w:val="18"/>
                <w:color w:val="252525"/>
                <w:w w:val="99"/>
              </w:rPr>
              <w:t>—</w:t>
            </w:r>
          </w:p>
        </w:tc>
        <w:tc>
          <w:tcPr>
            <w:tcW w:w="940" w:type="dxa"/>
            <w:vAlign w:val="bottom"/>
          </w:tcPr>
          <w:p>
            <w:pPr>
              <w:jc w:val="center"/>
              <w:ind w:left="39"/>
              <w:spacing w:after="0" w:line="205" w:lineRule="exact"/>
              <w:rPr>
                <w:sz w:val="20"/>
                <w:szCs w:val="20"/>
                <w:color w:val="auto"/>
              </w:rPr>
            </w:pPr>
            <w:r>
              <w:rPr>
                <w:rFonts w:ascii="Times New Roman" w:cs="Times New Roman" w:eastAsia="Times New Roman" w:hAnsi="Times New Roman"/>
                <w:sz w:val="18"/>
                <w:szCs w:val="18"/>
                <w:color w:val="252525"/>
                <w:w w:val="99"/>
              </w:rPr>
              <w:t>—</w:t>
            </w:r>
          </w:p>
        </w:tc>
        <w:tc>
          <w:tcPr>
            <w:tcW w:w="1960" w:type="dxa"/>
            <w:vAlign w:val="bottom"/>
          </w:tcPr>
          <w:p>
            <w:pPr>
              <w:ind w:left="820"/>
              <w:spacing w:after="0" w:line="20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document)</w:t>
            </w: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457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286" w:lineRule="exact"/>
        <w:rPr>
          <w:sz w:val="20"/>
          <w:szCs w:val="20"/>
          <w:color w:val="auto"/>
        </w:rPr>
      </w:pPr>
    </w:p>
    <w:p>
      <w:pPr>
        <w:jc w:val="both"/>
        <w:ind w:left="380" w:right="20" w:hanging="372"/>
        <w:spacing w:after="0" w:line="266" w:lineRule="auto"/>
        <w:tabs>
          <w:tab w:leader="none" w:pos="3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Exhibits 32.1 and 32.2 shall not be deemed “filed” for purposes of Section 18 of the Exchange Act, or otherwise subject to the liabilities of that section, nor shall it be deemed incorporated by reference in any filing under the Securities Act or the Exchange Act (including this Quarterly Report), unless the Registrant specifically incorporates the foregoing information into those documents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726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aTyr Pharma, Inc.</w:t>
            </w:r>
          </w:p>
        </w:tc>
      </w:tr>
      <w:tr>
        <w:trPr>
          <w:trHeight w:val="52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2024</w:t>
            </w:r>
          </w:p>
        </w:tc>
        <w:tc>
          <w:tcPr>
            <w:tcW w:w="27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Sanjay S. Shukla</w:t>
            </w:r>
          </w:p>
        </w:tc>
      </w:tr>
      <w:tr>
        <w:trPr>
          <w:trHeight w:val="234"/>
        </w:trPr>
        <w:tc>
          <w:tcPr>
            <w:tcW w:w="3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Sanjay S. Shukla, M.D., M.S.</w:t>
            </w:r>
          </w:p>
        </w:tc>
      </w:tr>
      <w:tr>
        <w:trPr>
          <w:trHeight w:val="238"/>
        </w:trPr>
        <w:tc>
          <w:tcPr>
            <w:tcW w:w="3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43"/>
        </w:trPr>
        <w:tc>
          <w:tcPr>
            <w:tcW w:w="39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0"/>
        </w:trPr>
        <w:tc>
          <w:tcPr>
            <w:tcW w:w="3960" w:type="dxa"/>
            <w:vAlign w:val="bottom"/>
          </w:tcPr>
          <w:p>
            <w:pPr>
              <w:spacing w:after="0"/>
              <w:rPr>
                <w:sz w:val="24"/>
                <w:szCs w:val="24"/>
                <w:color w:val="auto"/>
              </w:rPr>
            </w:pPr>
          </w:p>
        </w:tc>
        <w:tc>
          <w:tcPr>
            <w:tcW w:w="27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Jill M. Broadfoot</w:t>
            </w:r>
          </w:p>
        </w:tc>
      </w:tr>
      <w:tr>
        <w:trPr>
          <w:trHeight w:val="234"/>
        </w:trPr>
        <w:tc>
          <w:tcPr>
            <w:tcW w:w="3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Jill M. Broadfoot</w:t>
            </w:r>
          </w:p>
        </w:tc>
      </w:tr>
      <w:tr>
        <w:trPr>
          <w:trHeight w:val="238"/>
        </w:trPr>
        <w:tc>
          <w:tcPr>
            <w:tcW w:w="3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9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RULES 13a-14(a) AND 15d-14(a) OF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Sanjay S. Shukla, certify that:</w:t>
      </w:r>
    </w:p>
    <w:p>
      <w:pPr>
        <w:spacing w:after="0" w:line="117"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aTyr Pharma, Inc.;</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780" w:firstLine="517"/>
        <w:spacing w:after="0" w:line="282" w:lineRule="auto"/>
        <w:tabs>
          <w:tab w:leader="none" w:pos="7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40" w:firstLine="517"/>
        <w:spacing w:after="0" w:line="266" w:lineRule="auto"/>
        <w:tabs>
          <w:tab w:leader="none" w:pos="7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7"/>
          <w:szCs w:val="17"/>
          <w:color w:val="auto"/>
        </w:rPr>
        <w:t>/s/ Sanjay S. Shukla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Sanjay S. Shukla, M.D., M.S.</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RULES 13a-14(a) AND 15d-14(a) OF THE SECURITIES EXCHANGE ACT OF 1934,</w:t>
      </w:r>
    </w:p>
    <w:p>
      <w:pPr>
        <w:spacing w:after="0" w:line="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 M. Broadfoot, certify that:</w:t>
      </w:r>
    </w:p>
    <w:p>
      <w:pPr>
        <w:spacing w:after="0" w:line="117"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aTyr Pharma, Inc.;</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260" w:firstLine="517"/>
        <w:spacing w:after="0" w:line="266" w:lineRule="auto"/>
        <w:tabs>
          <w:tab w:leader="none" w:pos="7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517"/>
        <w:spacing w:after="0" w:line="266" w:lineRule="auto"/>
        <w:tabs>
          <w:tab w:leader="none" w:pos="7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780" w:firstLine="517"/>
        <w:spacing w:after="0" w:line="282" w:lineRule="auto"/>
        <w:tabs>
          <w:tab w:leader="none" w:pos="7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right="240" w:firstLine="517"/>
        <w:spacing w:after="0" w:line="266" w:lineRule="auto"/>
        <w:tabs>
          <w:tab w:leader="none" w:pos="7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180" w:firstLine="517"/>
        <w:spacing w:after="0" w:line="282" w:lineRule="auto"/>
        <w:tabs>
          <w:tab w:leader="none" w:pos="7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20" w:firstLine="517"/>
        <w:spacing w:after="0" w:line="282" w:lineRule="auto"/>
        <w:tabs>
          <w:tab w:leader="none" w:pos="7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7"/>
          <w:szCs w:val="17"/>
          <w:color w:val="auto"/>
        </w:rPr>
        <w:t>/s/ Jill M. Broadfoot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Jill M. Broadfoot</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aTyr Pharma, Inc. (the “Company”) for the period ended June 30, 2024, as filed with the Securities and Exchange Commission on the date hereof (the “Report”), I, Sanjay S. Shukla, President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700" w:hanging="183"/>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7"/>
          <w:szCs w:val="17"/>
          <w:color w:val="auto"/>
        </w:rPr>
        <w:t>/s/ Sanjay S. Shukla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Sanjay S. Shukla, M.D., M.S.</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3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aTyr Pharma, Inc. (the “Company”) for the period ended June 30, 2024, as filed with the Securities and Exchange Commission on the date hereof (the “Report”), I, Jill M. Broadfoot, Chief Financial Officer of the Company, certify, pursuant to 18 U.S.C. Section 1350, as adopted pursuant to Section 906 of the Sarbanes-Oxley Act of 2002, that:</w:t>
      </w:r>
    </w:p>
    <w:p>
      <w:pPr>
        <w:spacing w:after="0" w:line="68" w:lineRule="exact"/>
        <w:rPr>
          <w:sz w:val="20"/>
          <w:szCs w:val="20"/>
          <w:color w:val="auto"/>
        </w:rPr>
      </w:pPr>
    </w:p>
    <w:p>
      <w:pPr>
        <w:ind w:left="700" w:hanging="183"/>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00" w:hanging="183"/>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August 13, 2024</w:t>
      </w:r>
      <w:r>
        <w:rPr>
          <w:sz w:val="20"/>
          <w:szCs w:val="20"/>
          <w:color w:val="auto"/>
        </w:rPr>
        <w:tab/>
      </w:r>
      <w:r>
        <w:rPr>
          <w:rFonts w:ascii="Times New Roman" w:cs="Times New Roman" w:eastAsia="Times New Roman" w:hAnsi="Times New Roman"/>
          <w:sz w:val="17"/>
          <w:szCs w:val="17"/>
          <w:color w:val="auto"/>
        </w:rPr>
        <w:t>/s/ Jill M. Broadfoot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Jill M. Broadfoot</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8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4"/>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31" Type="http://schemas.openxmlformats.org/officeDocument/2006/relationships/hyperlink" Target="https://www.sec.gov/Archives/edgar/data/1339970/000095017022024724/life-ex3_1.htm" TargetMode="External"/><Relationship Id="rId232" Type="http://schemas.openxmlformats.org/officeDocument/2006/relationships/hyperlink" Target="https://www.sec.gov/Archives/edgar/data/1339970/000156459019024064/life-ex31_7.htm" TargetMode="External"/><Relationship Id="rId233" Type="http://schemas.openxmlformats.org/officeDocument/2006/relationships/hyperlink" Target="https://www.sec.gov/Archives/edgar/data/1339970/000156459020024729/life-ex33_130.htm" TargetMode="External"/><Relationship Id="rId234" Type="http://schemas.openxmlformats.org/officeDocument/2006/relationships/hyperlink" Target="https://www.sec.gov/Archives/edgar/data/1339970/000156459021023319/life-ex31_14.htm" TargetMode="External"/><Relationship Id="rId235" Type="http://schemas.openxmlformats.org/officeDocument/2006/relationships/hyperlink" Target="https://www.sec.gov/Archives/edgar/data/1339970/000156459022016548/life-ex31_8.htm" TargetMode="External"/><Relationship Id="rId236" Type="http://schemas.openxmlformats.org/officeDocument/2006/relationships/hyperlink" Target="https://www.sec.gov/Archives/edgar/data/1339970/000095017023023257/life-ex3_1.htm" TargetMode="External"/><Relationship Id="rId237" Type="http://schemas.openxmlformats.org/officeDocument/2006/relationships/hyperlink" Target="https://www.sec.gov/Archives/edgar/data/1339970/000095017022024724/life-ex3_6.htm" TargetMode="External"/><Relationship Id="rId238" Type="http://schemas.openxmlformats.org/officeDocument/2006/relationships/hyperlink" Target="https://www.sec.gov/Archives/edgar/data/1339970/000119312515148013/d819057dex41.htm" TargetMode="External"/><Relationship Id="rId239" Type="http://schemas.openxmlformats.org/officeDocument/2006/relationships/hyperlink" Target="https://www.sec.gov/Archives/edgar/data/1339970/000156459018006333/life-ex48_470.htm" TargetMode="External"/><Relationship Id="rId240" Type="http://schemas.openxmlformats.org/officeDocument/2006/relationships/hyperlink" Target="https://www.sec.gov/Archives/edgar/data/1339970/000156459018006333/life-ex49_469.htm" TargetMode="External"/><Relationship Id="rId241" Type="http://schemas.openxmlformats.org/officeDocument/2006/relationships/hyperlink" Target="https://www.sec.gov/Archives/edgar/data/1339970/000095017024065899/life-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2024-08-13T15:41:25Z</dcterms:created>
  <dcterms:modified xsi:type="dcterms:W3CDTF">2024-08-13T15:41:25Z</dcterms:modified>
</cp:coreProperties>
</file>